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E4" w:rsidRDefault="00B23FE4" w:rsidP="00B23FE4">
      <w:pPr>
        <w:pStyle w:val="Ttulo"/>
        <w:rPr>
          <w:rFonts w:ascii="Arial" w:hAnsi="Arial" w:cs="Arial"/>
        </w:rPr>
      </w:pPr>
      <w:r w:rsidRPr="003F506B">
        <w:rPr>
          <w:rFonts w:ascii="Arial" w:hAnsi="Arial" w:cs="Arial"/>
        </w:rPr>
        <w:t>PROJETO DE LEI N º 0</w:t>
      </w:r>
      <w:r>
        <w:rPr>
          <w:rFonts w:ascii="Arial" w:hAnsi="Arial" w:cs="Arial"/>
        </w:rPr>
        <w:t>46</w:t>
      </w:r>
      <w:r w:rsidRPr="003F506B">
        <w:rPr>
          <w:rFonts w:ascii="Arial" w:hAnsi="Arial" w:cs="Arial"/>
        </w:rPr>
        <w:t>/2013</w:t>
      </w:r>
      <w:r>
        <w:rPr>
          <w:rFonts w:ascii="Arial" w:hAnsi="Arial" w:cs="Arial"/>
        </w:rPr>
        <w:t>, de 24 de junho de 2013</w:t>
      </w:r>
      <w:r w:rsidRPr="003F506B">
        <w:rPr>
          <w:rFonts w:ascii="Arial" w:hAnsi="Arial" w:cs="Arial"/>
        </w:rPr>
        <w:t>.</w:t>
      </w:r>
      <w:r w:rsidRPr="003F506B">
        <w:rPr>
          <w:rFonts w:ascii="Arial" w:hAnsi="Arial" w:cs="Arial"/>
        </w:rPr>
        <w:tab/>
      </w:r>
    </w:p>
    <w:p w:rsidR="00B23FE4" w:rsidRDefault="00B23FE4" w:rsidP="00B23FE4">
      <w:pPr>
        <w:pStyle w:val="Ttulo"/>
        <w:rPr>
          <w:rFonts w:ascii="Arial" w:hAnsi="Arial" w:cs="Arial"/>
        </w:rPr>
      </w:pPr>
    </w:p>
    <w:p w:rsidR="0047482F" w:rsidRDefault="0047482F" w:rsidP="0047482F">
      <w:pPr>
        <w:pStyle w:val="Ttulo1"/>
        <w:spacing w:line="240" w:lineRule="auto"/>
      </w:pPr>
    </w:p>
    <w:p w:rsidR="0047482F" w:rsidRPr="00B23FE4" w:rsidRDefault="0047482F" w:rsidP="0047482F">
      <w:pPr>
        <w:pStyle w:val="Recuodecorpodetexto"/>
        <w:rPr>
          <w:b/>
          <w:i/>
        </w:rPr>
      </w:pPr>
      <w:r>
        <w:rPr>
          <w:i/>
        </w:rPr>
        <w:tab/>
      </w:r>
      <w:r w:rsidR="00B23FE4">
        <w:rPr>
          <w:i/>
        </w:rPr>
        <w:t>“</w:t>
      </w:r>
      <w:r w:rsidRPr="00B23FE4">
        <w:rPr>
          <w:b/>
          <w:i/>
        </w:rPr>
        <w:t xml:space="preserve">Autoriza o </w:t>
      </w:r>
      <w:r w:rsidR="00103C25" w:rsidRPr="00B23FE4">
        <w:rPr>
          <w:b/>
          <w:i/>
        </w:rPr>
        <w:t>P</w:t>
      </w:r>
      <w:r w:rsidRPr="00B23FE4">
        <w:rPr>
          <w:b/>
          <w:i/>
        </w:rPr>
        <w:t xml:space="preserve">oder </w:t>
      </w:r>
      <w:r w:rsidR="00103C25" w:rsidRPr="00B23FE4">
        <w:rPr>
          <w:b/>
          <w:i/>
        </w:rPr>
        <w:t>E</w:t>
      </w:r>
      <w:r w:rsidRPr="00B23FE4">
        <w:rPr>
          <w:b/>
          <w:i/>
        </w:rPr>
        <w:t>xecutivo a conceder incentivo à</w:t>
      </w:r>
      <w:r w:rsidR="003608EC" w:rsidRPr="00B23FE4">
        <w:rPr>
          <w:b/>
          <w:i/>
        </w:rPr>
        <w:t xml:space="preserve"> empresa Import</w:t>
      </w:r>
      <w:r w:rsidR="00103C25" w:rsidRPr="00B23FE4">
        <w:rPr>
          <w:b/>
          <w:i/>
        </w:rPr>
        <w:t>adora e Exportad</w:t>
      </w:r>
      <w:r w:rsidR="003F0F94" w:rsidRPr="00B23FE4">
        <w:rPr>
          <w:b/>
          <w:i/>
        </w:rPr>
        <w:t xml:space="preserve">ora Acrevi Ltda </w:t>
      </w:r>
      <w:r w:rsidR="00B23FE4">
        <w:rPr>
          <w:b/>
          <w:i/>
        </w:rPr>
        <w:t xml:space="preserve">e dá outras providências.” </w:t>
      </w:r>
    </w:p>
    <w:p w:rsidR="0047482F" w:rsidRDefault="0047482F" w:rsidP="0047482F">
      <w:pPr>
        <w:tabs>
          <w:tab w:val="left" w:pos="4253"/>
        </w:tabs>
        <w:spacing w:before="120"/>
        <w:jc w:val="center"/>
        <w:rPr>
          <w:b/>
        </w:rPr>
      </w:pPr>
    </w:p>
    <w:p w:rsidR="0047482F" w:rsidRDefault="0047482F" w:rsidP="0047482F">
      <w:pPr>
        <w:tabs>
          <w:tab w:val="left" w:pos="4253"/>
        </w:tabs>
        <w:spacing w:before="120"/>
        <w:jc w:val="center"/>
        <w:rPr>
          <w:b/>
        </w:rPr>
      </w:pPr>
    </w:p>
    <w:p w:rsidR="00B23FE4" w:rsidRPr="003F506B" w:rsidRDefault="00B23FE4" w:rsidP="00B23FE4">
      <w:pPr>
        <w:ind w:firstLine="1418"/>
        <w:jc w:val="both"/>
        <w:rPr>
          <w:rFonts w:cs="Arial"/>
          <w:bCs/>
        </w:rPr>
      </w:pPr>
      <w:r w:rsidRPr="003F506B">
        <w:rPr>
          <w:rFonts w:cs="Arial"/>
          <w:b/>
          <w:bCs/>
        </w:rPr>
        <w:t>NEORI LUIZ DALLA VECCHIA</w:t>
      </w:r>
      <w:r w:rsidRPr="003F506B">
        <w:rPr>
          <w:rFonts w:cs="Arial"/>
        </w:rPr>
        <w:t xml:space="preserve">, </w:t>
      </w:r>
      <w:r w:rsidRPr="003F506B">
        <w:rPr>
          <w:rFonts w:cs="Arial"/>
          <w:bCs/>
        </w:rPr>
        <w:t>Prefeito Municipal de Anta Gorda, Estado do Rio Grande do Sul.</w:t>
      </w:r>
    </w:p>
    <w:p w:rsidR="00B23FE4" w:rsidRPr="003F506B" w:rsidRDefault="00B23FE4" w:rsidP="00B23FE4">
      <w:pPr>
        <w:jc w:val="both"/>
        <w:rPr>
          <w:rFonts w:cs="Arial"/>
        </w:rPr>
      </w:pPr>
    </w:p>
    <w:p w:rsidR="00B23FE4" w:rsidRPr="003F506B" w:rsidRDefault="00B23FE4" w:rsidP="00B23FE4">
      <w:pPr>
        <w:jc w:val="both"/>
        <w:rPr>
          <w:rFonts w:cs="Arial"/>
          <w:bCs/>
        </w:rPr>
      </w:pPr>
      <w:r w:rsidRPr="003F506B">
        <w:rPr>
          <w:rFonts w:cs="Arial"/>
          <w:b/>
        </w:rPr>
        <w:tab/>
      </w:r>
      <w:r w:rsidRPr="003F506B">
        <w:rPr>
          <w:rFonts w:cs="Arial"/>
          <w:b/>
        </w:rPr>
        <w:tab/>
        <w:t xml:space="preserve">FAÇO SABER, </w:t>
      </w:r>
      <w:r w:rsidRPr="003F506B">
        <w:rPr>
          <w:rFonts w:cs="Arial"/>
          <w:bCs/>
        </w:rPr>
        <w:t>em cumprimento a Lei Orgânica do Município, que a Câmara Municipal de Vereadores aprovou e eu sanciono e promulgo a seguinte Lei.</w:t>
      </w:r>
    </w:p>
    <w:p w:rsidR="00B23FE4" w:rsidRDefault="00B23FE4" w:rsidP="00B23FE4">
      <w:pPr>
        <w:tabs>
          <w:tab w:val="left" w:pos="4253"/>
        </w:tabs>
        <w:spacing w:before="120"/>
        <w:rPr>
          <w:b/>
        </w:rPr>
      </w:pPr>
    </w:p>
    <w:p w:rsidR="003608EC" w:rsidRDefault="0047482F" w:rsidP="003608EC">
      <w:pPr>
        <w:pStyle w:val="Ttulo2"/>
        <w:rPr>
          <w:b w:val="0"/>
        </w:rPr>
      </w:pPr>
      <w:r>
        <w:rPr>
          <w:b w:val="0"/>
        </w:rPr>
        <w:tab/>
        <w:t>Art. 1º - Fica o Poder Executivo aut</w:t>
      </w:r>
      <w:r w:rsidR="003608EC">
        <w:rPr>
          <w:b w:val="0"/>
        </w:rPr>
        <w:t>orizado a conceder incentivo à IMPORTADORA E EXPORTADORA ACREVI LTDA, CNPJ 05.336.439/0001-03, com sede no município de Nova Prata, RS</w:t>
      </w:r>
      <w:r>
        <w:rPr>
          <w:b w:val="0"/>
        </w:rPr>
        <w:t>, destinado a estimular o desenvolvimento econômico e social do Município</w:t>
      </w:r>
      <w:r w:rsidR="00F971C3">
        <w:rPr>
          <w:b w:val="0"/>
        </w:rPr>
        <w:t>, conforme estabelecem as Leis 1.038/1997, 1.488/2005 e a presente Lei.</w:t>
      </w:r>
    </w:p>
    <w:p w:rsidR="003608EC" w:rsidRPr="003608EC" w:rsidRDefault="003608EC" w:rsidP="003608EC"/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2º - O incentivo de que trata esta Lei poderá consistir de:</w:t>
      </w:r>
    </w:p>
    <w:p w:rsidR="00F971C3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 xml:space="preserve">I – Doação de uma área de até 10.000 m², destinada à implantação da plataforma para receber e </w:t>
      </w:r>
      <w:r w:rsidR="003608EC">
        <w:t>processar a erva-mate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II – Execução dos serviços</w:t>
      </w:r>
      <w:r w:rsidR="00F971C3">
        <w:t xml:space="preserve"> escavação </w:t>
      </w:r>
      <w:r>
        <w:t>e terraplanagem necessários, de acordo com projeto de engenharia apresentado pela interessada e aprovado pela Secretaria de Obras;</w:t>
      </w:r>
    </w:p>
    <w:p w:rsidR="0047482F" w:rsidRPr="00BE3023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</w:r>
      <w:r w:rsidR="003608EC" w:rsidRPr="00BE3023">
        <w:t>III</w:t>
      </w:r>
      <w:r w:rsidR="00F971C3" w:rsidRPr="00BE3023">
        <w:t xml:space="preserve"> – Execução dos serviços de instalação de rede de água potável e acesso da via pública até a entrada do estabelecimento;</w:t>
      </w:r>
    </w:p>
    <w:p w:rsidR="003608EC" w:rsidRPr="003608EC" w:rsidRDefault="003608EC" w:rsidP="0047482F">
      <w:pPr>
        <w:tabs>
          <w:tab w:val="left" w:pos="1418"/>
        </w:tabs>
        <w:spacing w:before="120" w:line="360" w:lineRule="auto"/>
        <w:jc w:val="both"/>
        <w:rPr>
          <w:color w:val="FF0000"/>
        </w:rPr>
      </w:pPr>
    </w:p>
    <w:p w:rsidR="003B2ED7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3º - Fica o Poder Executivo autorizado a adquirir área necessária para a instalaçã</w:t>
      </w:r>
      <w:r w:rsidR="003608EC">
        <w:t>o d</w:t>
      </w:r>
      <w:r w:rsidR="00B625F7">
        <w:t>a obra de que trata esta Lei até o valor máximo de R$ 6</w:t>
      </w:r>
      <w:r w:rsidR="00F971C3">
        <w:t>3</w:t>
      </w:r>
      <w:r w:rsidR="00B625F7">
        <w:t xml:space="preserve">.000,00 (sessenta e </w:t>
      </w:r>
      <w:r w:rsidR="00F971C3">
        <w:t>três</w:t>
      </w:r>
      <w:r w:rsidR="00B625F7">
        <w:t xml:space="preserve"> mil reais)</w:t>
      </w:r>
      <w:r w:rsidR="00B83FCC">
        <w:t xml:space="preserve"> podendo ser dividido o pagamento da área em até 03 (três) parcelas mensais</w:t>
      </w:r>
      <w:r w:rsidR="00B625F7">
        <w:t>;</w:t>
      </w:r>
    </w:p>
    <w:p w:rsidR="003B2ED7" w:rsidRDefault="003B2ED7" w:rsidP="0047482F">
      <w:pPr>
        <w:tabs>
          <w:tab w:val="left" w:pos="1418"/>
        </w:tabs>
        <w:spacing w:before="120" w:line="360" w:lineRule="auto"/>
        <w:jc w:val="both"/>
      </w:pP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4º - O incentivo de que trata esta Lei será concedido mediante: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lastRenderedPageBreak/>
        <w:tab/>
        <w:t>I – Requerimento da interessada dirigida ao Prefeito Municipal;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II – Cópia do ato constitutivo da entidade, devidamente registrado nos termos da Lei nº 5.764, de 12 de dezembro de 1971;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III – Prova de regularidade quanto a tributos e contribuições federais, estaduais e municipais, assim como das contribuições previdenciárias e do Fundo de Garantia por Tempo de Serviço – FGTS;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IV – Projeto circunstanciado do investimento que pretende realizar, compreendendo a construção do prédio e seu cronograma, instalações, produção estimada, projeção do faturamento mínimo, estimativa do ICMS a ser gerado, projeção do número de empregos diretos e indiretos, a serem gerados, prazo para o início de funcionamento da atividade industrial e estudo da viabilidade econômica do empreendimento;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V – Certidão negativa judicial e de protesto de títulos da Comarca local.</w:t>
      </w:r>
    </w:p>
    <w:p w:rsidR="003F0F94" w:rsidRDefault="003F0F94" w:rsidP="0047482F">
      <w:pPr>
        <w:tabs>
          <w:tab w:val="left" w:pos="1418"/>
        </w:tabs>
        <w:spacing w:before="120" w:line="360" w:lineRule="auto"/>
        <w:jc w:val="both"/>
      </w:pP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5º - O requerimento de que trata o art. 4º, I, deverá ser acompanhado, ainda, de memorial com os seguintes elementos: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 – valor inicial do investimento;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II – área necessária para a instalação;</w:t>
      </w: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III – ab</w:t>
      </w:r>
      <w:r w:rsidR="003F0F94">
        <w:t>sorção inicial de mão-de-obra</w:t>
      </w:r>
      <w:r>
        <w:t>;</w:t>
      </w:r>
    </w:p>
    <w:p w:rsidR="003F0F94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</w:r>
      <w:r w:rsidR="003F0F94">
        <w:t>I</w:t>
      </w:r>
      <w:r>
        <w:t>V –</w:t>
      </w:r>
      <w:r w:rsidR="003F0F94">
        <w:t xml:space="preserve"> estimativa da produção inicial</w:t>
      </w:r>
      <w:r>
        <w:t>;</w:t>
      </w:r>
    </w:p>
    <w:p w:rsidR="0047482F" w:rsidRDefault="0047482F" w:rsidP="0047482F">
      <w:pPr>
        <w:pStyle w:val="Corpodetexto"/>
      </w:pPr>
      <w:r>
        <w:tab/>
        <w:t>Parágrafo único – Outras informações poderão ser solicitadas pela Administração Municipal.</w:t>
      </w:r>
    </w:p>
    <w:p w:rsidR="003F0F94" w:rsidRDefault="003F0F94" w:rsidP="0047482F">
      <w:pPr>
        <w:pStyle w:val="Corpodetexto"/>
      </w:pP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6º - O Poder Executivo, após as manifestações dos órgãos técnicos do Munic</w:t>
      </w:r>
      <w:r w:rsidR="003608EC">
        <w:t xml:space="preserve">ípio, do Conselho Municipal de </w:t>
      </w:r>
      <w:r>
        <w:t>Desenvolvimento Econômi</w:t>
      </w:r>
      <w:r w:rsidR="003608EC">
        <w:t xml:space="preserve">co e </w:t>
      </w:r>
      <w:r>
        <w:t>Industrial e da Assessoria Jurídica, decidirá sobre o pedido e elaborará Carta de Intenção, contendo os compromissos da beneficiária e os subsídios possíveis a serem concedidos pelo Município.</w:t>
      </w:r>
    </w:p>
    <w:p w:rsidR="003F0F94" w:rsidRDefault="003F0F94" w:rsidP="0047482F">
      <w:pPr>
        <w:tabs>
          <w:tab w:val="left" w:pos="1418"/>
        </w:tabs>
        <w:spacing w:before="120" w:line="360" w:lineRule="auto"/>
        <w:jc w:val="both"/>
      </w:pP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lastRenderedPageBreak/>
        <w:tab/>
        <w:t>Art. 7º - Definidos os incentivos a serem fornecidos, o Municíp</w:t>
      </w:r>
      <w:r w:rsidR="003F0F94">
        <w:t xml:space="preserve">io, quantificará o custo total  e </w:t>
      </w:r>
      <w:r>
        <w:t xml:space="preserve"> demais encargos incid</w:t>
      </w:r>
      <w:r w:rsidR="003F0F94">
        <w:t>entes, comunicando o montante à Câmara de Vereadores.</w:t>
      </w:r>
    </w:p>
    <w:p w:rsidR="003F0F94" w:rsidRDefault="003F0F94" w:rsidP="0047482F">
      <w:pPr>
        <w:tabs>
          <w:tab w:val="left" w:pos="1418"/>
        </w:tabs>
        <w:spacing w:before="120" w:line="360" w:lineRule="auto"/>
        <w:jc w:val="both"/>
      </w:pPr>
    </w:p>
    <w:p w:rsidR="0047482F" w:rsidRPr="003F0F94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 xml:space="preserve">Art. 8º - A </w:t>
      </w:r>
      <w:r w:rsidR="006F52E6">
        <w:t xml:space="preserve">doação, </w:t>
      </w:r>
      <w:r>
        <w:t>entrega do material e a prestação dos serviços será precedida de escritura pública registrada no Cartório de Títulos e Documentos, contendo cláusula expressa de indenização, ao Município, do valor igual do incentivo concedido, acrescido de juros de 1% (um por cento) ao mês e correção monetária</w:t>
      </w:r>
      <w:r w:rsidR="003608EC">
        <w:t xml:space="preserve"> pelo IGP-M (FGV) ou outro índice que o venha a substituir,</w:t>
      </w:r>
      <w:r w:rsidR="009E7F46">
        <w:t xml:space="preserve"> </w:t>
      </w:r>
      <w:r w:rsidRPr="003F0F94">
        <w:t xml:space="preserve">no caso de fechamento do estabelecimento ou de redução ou não alcance das metas especificadas na Carta </w:t>
      </w:r>
      <w:r w:rsidR="003F0F94" w:rsidRPr="003F0F94">
        <w:t>de Intenções, no prazo</w:t>
      </w:r>
      <w:r w:rsidR="003F0F94">
        <w:t xml:space="preserve"> mínimo </w:t>
      </w:r>
      <w:r w:rsidR="003F0F94" w:rsidRPr="003F0F94">
        <w:t xml:space="preserve">de 10 (dez) </w:t>
      </w:r>
      <w:r w:rsidRPr="003F0F94">
        <w:t>anos, contados da data da obtenção do benefício, devendo ser prestada garantia real ou pessoal da obrigação de indenizar.</w:t>
      </w:r>
    </w:p>
    <w:p w:rsidR="00B625F7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Parágrafo único – A doação da área de que trata o art. 2º será escriturada com cláusula de reversão se ocorrerem as hipóteses referidas neste artigo, conforme previsto no art. 17, § 4º, da Lei Federal nº 8.666/93.</w:t>
      </w:r>
    </w:p>
    <w:p w:rsidR="00BE3023" w:rsidRDefault="00BE3023" w:rsidP="0047482F">
      <w:pPr>
        <w:tabs>
          <w:tab w:val="left" w:pos="1418"/>
        </w:tabs>
        <w:spacing w:before="120" w:line="360" w:lineRule="auto"/>
        <w:jc w:val="both"/>
      </w:pPr>
    </w:p>
    <w:p w:rsidR="00B625F7" w:rsidRDefault="00BE3023" w:rsidP="00B625F7">
      <w:pPr>
        <w:tabs>
          <w:tab w:val="left" w:pos="0"/>
        </w:tabs>
        <w:spacing w:before="120" w:line="360" w:lineRule="auto"/>
        <w:jc w:val="both"/>
      </w:pPr>
      <w:r>
        <w:tab/>
      </w:r>
      <w:r>
        <w:tab/>
        <w:t>Art. 9º</w:t>
      </w:r>
      <w:r w:rsidR="00B625F7">
        <w:t xml:space="preserve"> – As despesas decorrentes da presente Lei serão suportadas pelas dotações orçamen</w:t>
      </w:r>
      <w:r w:rsidR="006D0A0A">
        <w:t>tárias próprias, suplementadas s</w:t>
      </w:r>
      <w:r w:rsidR="00B625F7">
        <w:t>e necessário.</w:t>
      </w:r>
    </w:p>
    <w:p w:rsidR="00C53B4E" w:rsidRDefault="00C53B4E" w:rsidP="00B625F7">
      <w:pPr>
        <w:tabs>
          <w:tab w:val="left" w:pos="0"/>
        </w:tabs>
        <w:spacing w:before="120" w:line="360" w:lineRule="auto"/>
        <w:jc w:val="both"/>
      </w:pPr>
    </w:p>
    <w:p w:rsidR="006D0A0A" w:rsidRDefault="00C53B4E" w:rsidP="00B625F7">
      <w:pPr>
        <w:tabs>
          <w:tab w:val="left" w:pos="0"/>
        </w:tabs>
        <w:spacing w:before="120" w:line="360" w:lineRule="auto"/>
        <w:jc w:val="both"/>
      </w:pPr>
      <w:r>
        <w:t xml:space="preserve">                      Art. 10 – Fica o Poder Executivo autorizado a abrir um crédito suplementar no Orçamento vigente, no valor de até R$ 63.000,00 (sessenta e três mil reais)</w:t>
      </w:r>
      <w:r w:rsidR="006D0A0A">
        <w:t>, com a seguinte classificação orçamentária:</w:t>
      </w:r>
    </w:p>
    <w:p w:rsidR="006D0A0A" w:rsidRDefault="00C53B4E" w:rsidP="006D0A0A">
      <w:r>
        <w:t xml:space="preserve">  </w:t>
      </w:r>
    </w:p>
    <w:p w:rsidR="006D0A0A" w:rsidRDefault="006D0A0A" w:rsidP="006D0A0A">
      <w:pPr>
        <w:rPr>
          <w:rFonts w:cs="Arial"/>
          <w:b/>
          <w:i/>
          <w:szCs w:val="22"/>
        </w:rPr>
      </w:pPr>
      <w:r w:rsidRPr="003402F5">
        <w:rPr>
          <w:rFonts w:cs="Arial"/>
          <w:b/>
          <w:i/>
          <w:szCs w:val="22"/>
        </w:rPr>
        <w:t xml:space="preserve">RECURSO </w:t>
      </w:r>
      <w:r>
        <w:rPr>
          <w:rFonts w:cs="Arial"/>
          <w:b/>
          <w:i/>
          <w:szCs w:val="22"/>
        </w:rPr>
        <w:t>0001</w:t>
      </w:r>
      <w:r w:rsidRPr="003402F5">
        <w:rPr>
          <w:rFonts w:cs="Arial"/>
          <w:b/>
          <w:i/>
          <w:szCs w:val="22"/>
        </w:rPr>
        <w:t xml:space="preserve">  </w:t>
      </w:r>
      <w:r>
        <w:rPr>
          <w:rFonts w:cs="Arial"/>
          <w:b/>
          <w:i/>
          <w:szCs w:val="22"/>
        </w:rPr>
        <w:t>Livre...............................</w:t>
      </w:r>
      <w:r w:rsidRPr="003402F5">
        <w:rPr>
          <w:rFonts w:cs="Arial"/>
          <w:b/>
          <w:i/>
          <w:szCs w:val="22"/>
        </w:rPr>
        <w:t>.............</w:t>
      </w:r>
      <w:r>
        <w:rPr>
          <w:rFonts w:cs="Arial"/>
          <w:b/>
          <w:i/>
          <w:szCs w:val="22"/>
        </w:rPr>
        <w:t>....................</w:t>
      </w:r>
      <w:r w:rsidRPr="003402F5">
        <w:rPr>
          <w:rFonts w:cs="Arial"/>
          <w:b/>
          <w:bCs/>
          <w:i/>
          <w:szCs w:val="22"/>
        </w:rPr>
        <w:t xml:space="preserve"> </w:t>
      </w:r>
      <w:r w:rsidRPr="003402F5">
        <w:rPr>
          <w:rFonts w:cs="Arial"/>
          <w:b/>
          <w:i/>
          <w:szCs w:val="22"/>
        </w:rPr>
        <w:t xml:space="preserve">R$          </w:t>
      </w:r>
      <w:r>
        <w:rPr>
          <w:rFonts w:cs="Arial"/>
          <w:b/>
          <w:i/>
          <w:szCs w:val="22"/>
        </w:rPr>
        <w:t xml:space="preserve">   63.000,00</w:t>
      </w:r>
    </w:p>
    <w:tbl>
      <w:tblPr>
        <w:tblW w:w="9094" w:type="dxa"/>
        <w:tblCellMar>
          <w:left w:w="70" w:type="dxa"/>
          <w:right w:w="70" w:type="dxa"/>
        </w:tblCellMar>
        <w:tblLook w:val="0000"/>
      </w:tblPr>
      <w:tblGrid>
        <w:gridCol w:w="2479"/>
        <w:gridCol w:w="4537"/>
        <w:gridCol w:w="396"/>
        <w:gridCol w:w="1682"/>
      </w:tblGrid>
      <w:tr w:rsidR="006D0A0A" w:rsidRPr="00483A01" w:rsidTr="00F8495C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DD216F">
            <w:pPr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05.02.22.661.0210.2.129</w:t>
            </w:r>
          </w:p>
        </w:tc>
        <w:tc>
          <w:tcPr>
            <w:tcW w:w="6615" w:type="dxa"/>
            <w:gridSpan w:val="3"/>
          </w:tcPr>
          <w:p w:rsidR="006D0A0A" w:rsidRPr="00F8495C" w:rsidRDefault="006D0A0A" w:rsidP="00DD216F">
            <w:pPr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Implantação de Indústria de Erva-Mate</w:t>
            </w:r>
          </w:p>
        </w:tc>
      </w:tr>
      <w:tr w:rsidR="006D0A0A" w:rsidRPr="00736911" w:rsidTr="00F8495C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DD216F">
            <w:pPr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4.4.60.41.00.00.00</w:t>
            </w:r>
          </w:p>
        </w:tc>
        <w:tc>
          <w:tcPr>
            <w:tcW w:w="4537" w:type="dxa"/>
            <w:shd w:val="clear" w:color="auto" w:fill="auto"/>
          </w:tcPr>
          <w:p w:rsidR="006D0A0A" w:rsidRPr="00F8495C" w:rsidRDefault="006D0A0A" w:rsidP="00DD216F">
            <w:pPr>
              <w:tabs>
                <w:tab w:val="left" w:pos="4524"/>
              </w:tabs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Contribuições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DD216F">
            <w:pPr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 xml:space="preserve">           63.000,00</w:t>
            </w:r>
          </w:p>
        </w:tc>
      </w:tr>
    </w:tbl>
    <w:p w:rsidR="006D0A0A" w:rsidRDefault="006D0A0A" w:rsidP="006D0A0A">
      <w:pPr>
        <w:rPr>
          <w:rFonts w:cs="Arial"/>
          <w:b/>
          <w:i/>
          <w:szCs w:val="22"/>
        </w:rPr>
      </w:pPr>
    </w:p>
    <w:p w:rsidR="006D0A0A" w:rsidRDefault="006D0A0A" w:rsidP="006D0A0A">
      <w:r w:rsidRPr="004F25A3">
        <w:rPr>
          <w:rFonts w:cs="Arial"/>
          <w:b/>
        </w:rPr>
        <w:t>Total .................................................................</w:t>
      </w:r>
      <w:r>
        <w:rPr>
          <w:rFonts w:cs="Arial"/>
          <w:b/>
        </w:rPr>
        <w:t>..................</w:t>
      </w:r>
      <w:r w:rsidRPr="004F25A3">
        <w:rPr>
          <w:rFonts w:cs="Arial"/>
          <w:b/>
        </w:rPr>
        <w:t>.....</w:t>
      </w:r>
      <w:r w:rsidR="00F8495C">
        <w:rPr>
          <w:rFonts w:cs="Arial"/>
          <w:b/>
        </w:rPr>
        <w:t>.</w:t>
      </w:r>
      <w:r w:rsidRPr="004F25A3">
        <w:rPr>
          <w:rFonts w:cs="Arial"/>
          <w:b/>
        </w:rPr>
        <w:t xml:space="preserve"> R$           </w:t>
      </w:r>
      <w:r>
        <w:rPr>
          <w:rFonts w:cs="Arial"/>
          <w:b/>
        </w:rPr>
        <w:t xml:space="preserve">  63.000,00</w:t>
      </w:r>
    </w:p>
    <w:p w:rsidR="00C53B4E" w:rsidRDefault="00C53B4E" w:rsidP="00B625F7">
      <w:pPr>
        <w:tabs>
          <w:tab w:val="left" w:pos="0"/>
        </w:tabs>
        <w:spacing w:before="120" w:line="360" w:lineRule="auto"/>
        <w:jc w:val="both"/>
      </w:pPr>
    </w:p>
    <w:p w:rsidR="006D0A0A" w:rsidRDefault="006D0A0A" w:rsidP="00B625F7">
      <w:pPr>
        <w:tabs>
          <w:tab w:val="left" w:pos="0"/>
        </w:tabs>
        <w:spacing w:before="120" w:line="360" w:lineRule="auto"/>
        <w:jc w:val="both"/>
      </w:pPr>
      <w:r>
        <w:t xml:space="preserve">                    Art. 11 – O crédito aberto pelo artigo 10 desta Lei, será coberto pela seguinte dotação orçamentária:</w:t>
      </w:r>
    </w:p>
    <w:p w:rsidR="006D0A0A" w:rsidRDefault="006D0A0A" w:rsidP="006D0A0A">
      <w:pPr>
        <w:rPr>
          <w:rFonts w:cs="Arial"/>
          <w:b/>
          <w:i/>
          <w:szCs w:val="22"/>
        </w:rPr>
      </w:pPr>
    </w:p>
    <w:p w:rsidR="006D0A0A" w:rsidRDefault="006D0A0A" w:rsidP="006D0A0A">
      <w:pPr>
        <w:rPr>
          <w:rFonts w:cs="Arial"/>
          <w:b/>
          <w:i/>
          <w:szCs w:val="22"/>
        </w:rPr>
      </w:pPr>
      <w:r w:rsidRPr="003402F5">
        <w:rPr>
          <w:rFonts w:cs="Arial"/>
          <w:b/>
          <w:i/>
          <w:szCs w:val="22"/>
        </w:rPr>
        <w:t xml:space="preserve">RECURSO </w:t>
      </w:r>
      <w:r>
        <w:rPr>
          <w:rFonts w:cs="Arial"/>
          <w:b/>
          <w:i/>
          <w:szCs w:val="22"/>
        </w:rPr>
        <w:t>0001</w:t>
      </w:r>
      <w:r w:rsidRPr="003402F5">
        <w:rPr>
          <w:rFonts w:cs="Arial"/>
          <w:b/>
          <w:i/>
          <w:szCs w:val="22"/>
        </w:rPr>
        <w:t xml:space="preserve">  </w:t>
      </w:r>
      <w:r>
        <w:rPr>
          <w:rFonts w:cs="Arial"/>
          <w:b/>
          <w:i/>
          <w:szCs w:val="22"/>
        </w:rPr>
        <w:t>Livre...............................</w:t>
      </w:r>
      <w:r w:rsidRPr="003402F5">
        <w:rPr>
          <w:rFonts w:cs="Arial"/>
          <w:b/>
          <w:i/>
          <w:szCs w:val="22"/>
        </w:rPr>
        <w:t>..............................</w:t>
      </w:r>
      <w:r w:rsidRPr="003402F5">
        <w:rPr>
          <w:rFonts w:cs="Arial"/>
          <w:b/>
          <w:bCs/>
          <w:i/>
          <w:szCs w:val="22"/>
        </w:rPr>
        <w:t xml:space="preserve"> </w:t>
      </w:r>
      <w:r w:rsidRPr="003402F5">
        <w:rPr>
          <w:rFonts w:cs="Arial"/>
          <w:b/>
          <w:i/>
          <w:szCs w:val="22"/>
        </w:rPr>
        <w:t xml:space="preserve">R$          </w:t>
      </w:r>
      <w:r>
        <w:rPr>
          <w:rFonts w:cs="Arial"/>
          <w:b/>
          <w:i/>
          <w:szCs w:val="22"/>
        </w:rPr>
        <w:t xml:space="preserve">   63.000,00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7"/>
        <w:gridCol w:w="5352"/>
        <w:gridCol w:w="655"/>
        <w:gridCol w:w="1651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02.01.04.122.0100.2.004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das Atividades do Gabinete do Prefeito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3.1.90.11.00.00.00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Vencimentos e Vantagens Fixas - Pessoal Civil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4.600,00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lastRenderedPageBreak/>
              <w:t>03.01.24.721.0100.2.010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dos Serviços Postais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2.500,00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03.01.24.722.0130.2.011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dos Serviços de Comunicação e Repetidora de TV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3.3.90.30.00.00.00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Material de Consumo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1.600,00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1.000,00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03.04.24.722.0130.2.020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dos Serviços Telefônicos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3.1.90.16.00.00.00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Outras Despesas Variáveis - Pessoal Civil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3.500,00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04.01.04.123.0100.2.021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da Secretaria Municipal da Fazenda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3.1.90.16.00.00.00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Outras Despesas Variáveis - Pessoal Civil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2.500,00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3.3.90.14.00.00.00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Diárias - Pessoal Civil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1.400,00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2"/>
        <w:gridCol w:w="655"/>
        <w:gridCol w:w="1652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07.03.08.243.0430.2.106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da Casa de Passagem Regional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3.3.50.43.00.00.00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Subvenções Sociais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2.681,00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07.06.18.542.0460.2.087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do Departamento de Meio Ambiente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4.000,00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08.02.15.451.0510.2.092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de Vias Urbanas, Passeios e Abrigos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3.3.90.30.00.00.00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Material de Consumo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5.259,00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6.960,00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08.02.15.452.0510.2.097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de Praças, Parques, Jardins e Sanitários Públicos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3.3.90.30.00.00.00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Material de Consumo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8.000,00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3.3.90.36.00.00.00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Física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4.700,00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3"/>
        <w:gridCol w:w="655"/>
        <w:gridCol w:w="1651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08.02.15.452.0550.2.094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Ampliação e Manutenção Cemitério Municipal e Casa Mortuária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3.3.90.30.00.00.00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Material de Consumo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1.500,00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3.800,00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4.4.90.52.00.00.00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Equipamento e Material Permanente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2.000,00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2"/>
        <w:gridCol w:w="655"/>
        <w:gridCol w:w="1652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08.02.17.512.0510.1.015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Construção, Ampliação e Canalização de Redes de Esgoto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4.4.90.51.00.00.00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Obras e Instalações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2.000,00</w:t>
            </w:r>
          </w:p>
        </w:tc>
      </w:tr>
    </w:tbl>
    <w:p w:rsidR="006D0A0A" w:rsidRPr="00F8495C" w:rsidRDefault="006D0A0A" w:rsidP="00F8495C">
      <w:pPr>
        <w:ind w:right="284"/>
        <w:rPr>
          <w:rFonts w:cs="Arial"/>
          <w:b/>
          <w:i/>
          <w:sz w:val="18"/>
          <w:szCs w:val="1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6"/>
        <w:gridCol w:w="5351"/>
        <w:gridCol w:w="655"/>
        <w:gridCol w:w="1653"/>
      </w:tblGrid>
      <w:tr w:rsidR="006D0A0A" w:rsidRPr="00F8495C" w:rsidTr="00DD216F">
        <w:trPr>
          <w:cantSplit/>
          <w:trHeight w:val="91"/>
        </w:trPr>
        <w:tc>
          <w:tcPr>
            <w:tcW w:w="2479" w:type="dxa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08.02.17.512.0510.2.098</w:t>
            </w:r>
          </w:p>
        </w:tc>
        <w:tc>
          <w:tcPr>
            <w:tcW w:w="7656" w:type="dxa"/>
            <w:gridSpan w:val="3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Manutenção do Sistema de Esgoto e Pontes</w:t>
            </w:r>
          </w:p>
        </w:tc>
      </w:tr>
      <w:tr w:rsidR="006D0A0A" w:rsidRPr="00F8495C" w:rsidTr="00DD216F">
        <w:trPr>
          <w:trHeight w:val="173"/>
        </w:trPr>
        <w:tc>
          <w:tcPr>
            <w:tcW w:w="2479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3.3.90.39.00.00.00</w:t>
            </w:r>
          </w:p>
        </w:tc>
        <w:tc>
          <w:tcPr>
            <w:tcW w:w="5578" w:type="dxa"/>
            <w:shd w:val="clear" w:color="auto" w:fill="auto"/>
          </w:tcPr>
          <w:p w:rsidR="006D0A0A" w:rsidRPr="00F8495C" w:rsidRDefault="006D0A0A" w:rsidP="00F8495C">
            <w:pPr>
              <w:tabs>
                <w:tab w:val="left" w:pos="4524"/>
              </w:tabs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396" w:type="dxa"/>
            <w:shd w:val="clear" w:color="auto" w:fill="auto"/>
          </w:tcPr>
          <w:p w:rsidR="006D0A0A" w:rsidRPr="00F8495C" w:rsidRDefault="006D0A0A" w:rsidP="00F8495C">
            <w:pPr>
              <w:ind w:right="284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6D0A0A" w:rsidRPr="00F8495C" w:rsidRDefault="006D0A0A" w:rsidP="00F8495C">
            <w:pPr>
              <w:tabs>
                <w:tab w:val="center" w:pos="771"/>
                <w:tab w:val="right" w:pos="1542"/>
              </w:tabs>
              <w:ind w:right="284"/>
              <w:jc w:val="right"/>
              <w:rPr>
                <w:rFonts w:cs="Arial"/>
                <w:sz w:val="18"/>
                <w:szCs w:val="18"/>
              </w:rPr>
            </w:pPr>
            <w:r w:rsidRPr="00F8495C">
              <w:rPr>
                <w:rFonts w:cs="Arial"/>
                <w:sz w:val="18"/>
                <w:szCs w:val="18"/>
              </w:rPr>
              <w:t>5.000,00</w:t>
            </w:r>
          </w:p>
        </w:tc>
      </w:tr>
    </w:tbl>
    <w:p w:rsidR="006D0A0A" w:rsidRDefault="006D0A0A" w:rsidP="006D0A0A">
      <w:pPr>
        <w:rPr>
          <w:rFonts w:cs="Arial"/>
          <w:b/>
          <w:i/>
          <w:szCs w:val="22"/>
        </w:rPr>
      </w:pPr>
    </w:p>
    <w:p w:rsidR="006D0A0A" w:rsidRDefault="006D0A0A" w:rsidP="006D0A0A">
      <w:r w:rsidRPr="004F25A3">
        <w:rPr>
          <w:rFonts w:cs="Arial"/>
          <w:b/>
        </w:rPr>
        <w:t>Total .................................................................</w:t>
      </w:r>
      <w:r>
        <w:rPr>
          <w:rFonts w:cs="Arial"/>
          <w:b/>
        </w:rPr>
        <w:t>.......................</w:t>
      </w:r>
      <w:r w:rsidR="00F8495C">
        <w:rPr>
          <w:rFonts w:cs="Arial"/>
          <w:b/>
        </w:rPr>
        <w:t>..</w:t>
      </w:r>
      <w:r w:rsidRPr="004F25A3">
        <w:rPr>
          <w:rFonts w:cs="Arial"/>
          <w:b/>
        </w:rPr>
        <w:t xml:space="preserve">R$           </w:t>
      </w:r>
      <w:r>
        <w:rPr>
          <w:rFonts w:cs="Arial"/>
          <w:b/>
        </w:rPr>
        <w:t xml:space="preserve">  63.000,00</w:t>
      </w:r>
    </w:p>
    <w:p w:rsidR="006D0A0A" w:rsidRDefault="006D0A0A" w:rsidP="00B625F7">
      <w:pPr>
        <w:tabs>
          <w:tab w:val="left" w:pos="0"/>
        </w:tabs>
        <w:spacing w:before="120" w:line="360" w:lineRule="auto"/>
        <w:jc w:val="both"/>
      </w:pPr>
    </w:p>
    <w:p w:rsidR="006D0A0A" w:rsidRPr="006D0A0A" w:rsidRDefault="006D0A0A" w:rsidP="006D0A0A">
      <w:r>
        <w:t xml:space="preserve">                       </w:t>
      </w:r>
      <w:r w:rsidRPr="006D0A0A">
        <w:t xml:space="preserve">Art. </w:t>
      </w:r>
      <w:r>
        <w:t xml:space="preserve">12 - </w:t>
      </w:r>
      <w:r w:rsidRPr="006D0A0A">
        <w:t xml:space="preserve"> A presente lei será regulamentada por Decreto do Executivo, naquilo que couber.</w:t>
      </w:r>
    </w:p>
    <w:p w:rsidR="00B625F7" w:rsidRDefault="00B625F7" w:rsidP="006D0A0A">
      <w:pPr>
        <w:spacing w:before="120" w:line="360" w:lineRule="auto"/>
        <w:jc w:val="both"/>
      </w:pPr>
    </w:p>
    <w:p w:rsidR="0047482F" w:rsidRDefault="0047482F" w:rsidP="0047482F">
      <w:pPr>
        <w:tabs>
          <w:tab w:val="left" w:pos="1418"/>
        </w:tabs>
        <w:spacing w:before="120" w:line="360" w:lineRule="auto"/>
        <w:jc w:val="both"/>
      </w:pPr>
      <w:r>
        <w:tab/>
        <w:t>Art. 1</w:t>
      </w:r>
      <w:r w:rsidR="006D0A0A">
        <w:t>3</w:t>
      </w:r>
      <w:r>
        <w:t xml:space="preserve"> – Esta Lei entra em vigor na data de sua publicação.</w:t>
      </w:r>
    </w:p>
    <w:p w:rsidR="00D223FB" w:rsidRDefault="00D223FB" w:rsidP="006D0A0A">
      <w:pPr>
        <w:ind w:firstLine="1418"/>
        <w:jc w:val="both"/>
        <w:rPr>
          <w:rFonts w:cs="Arial"/>
          <w:b/>
          <w:sz w:val="20"/>
        </w:rPr>
      </w:pPr>
    </w:p>
    <w:p w:rsidR="00D223FB" w:rsidRDefault="00D223FB" w:rsidP="006D0A0A">
      <w:pPr>
        <w:ind w:firstLine="1418"/>
        <w:jc w:val="both"/>
        <w:rPr>
          <w:rFonts w:cs="Arial"/>
          <w:b/>
          <w:sz w:val="20"/>
        </w:rPr>
      </w:pPr>
    </w:p>
    <w:p w:rsidR="006D0A0A" w:rsidRDefault="006D0A0A" w:rsidP="00F8495C">
      <w:pPr>
        <w:ind w:right="284" w:firstLine="1418"/>
        <w:jc w:val="both"/>
        <w:rPr>
          <w:rFonts w:cs="Arial"/>
          <w:sz w:val="20"/>
        </w:rPr>
      </w:pPr>
      <w:r w:rsidRPr="000A5D3C">
        <w:rPr>
          <w:rFonts w:cs="Arial"/>
          <w:b/>
          <w:sz w:val="20"/>
        </w:rPr>
        <w:t>GABINETE DO PREFEITO MUNICIPAL DE ANTA GORDA, aos 2</w:t>
      </w:r>
      <w:r w:rsidR="00F8495C">
        <w:rPr>
          <w:rFonts w:cs="Arial"/>
          <w:b/>
          <w:sz w:val="20"/>
        </w:rPr>
        <w:t>4 dias do mês de junho</w:t>
      </w:r>
      <w:r w:rsidRPr="000A5D3C">
        <w:rPr>
          <w:rFonts w:cs="Arial"/>
          <w:b/>
          <w:sz w:val="20"/>
        </w:rPr>
        <w:t xml:space="preserve"> de 2013. </w:t>
      </w:r>
    </w:p>
    <w:p w:rsidR="006D0A0A" w:rsidRDefault="006D0A0A" w:rsidP="006D0A0A">
      <w:pPr>
        <w:pStyle w:val="Ttulo1"/>
        <w:ind w:firstLine="708"/>
        <w:rPr>
          <w:rFonts w:cs="Arial"/>
          <w:sz w:val="20"/>
        </w:rPr>
      </w:pPr>
    </w:p>
    <w:p w:rsidR="006D0A0A" w:rsidRDefault="006D0A0A" w:rsidP="006D0A0A">
      <w:pPr>
        <w:pStyle w:val="Ttulo1"/>
        <w:ind w:firstLine="708"/>
        <w:rPr>
          <w:rFonts w:cs="Arial"/>
          <w:sz w:val="20"/>
        </w:rPr>
      </w:pPr>
    </w:p>
    <w:p w:rsidR="006D0A0A" w:rsidRDefault="006D0A0A" w:rsidP="006D0A0A">
      <w:pPr>
        <w:pStyle w:val="Ttulo1"/>
        <w:ind w:firstLine="708"/>
        <w:rPr>
          <w:rFonts w:cs="Arial"/>
          <w:sz w:val="20"/>
        </w:rPr>
      </w:pPr>
    </w:p>
    <w:p w:rsidR="006D0A0A" w:rsidRPr="000A5D3C" w:rsidRDefault="006D0A0A" w:rsidP="006D0A0A">
      <w:pPr>
        <w:pStyle w:val="Ttulo1"/>
        <w:ind w:firstLine="708"/>
        <w:rPr>
          <w:rFonts w:cs="Arial"/>
          <w:sz w:val="20"/>
        </w:rPr>
      </w:pPr>
      <w:r w:rsidRPr="000A5D3C">
        <w:rPr>
          <w:rFonts w:cs="Arial"/>
          <w:sz w:val="20"/>
        </w:rPr>
        <w:t>NEORI LUIZ DALLA VECCHIA</w:t>
      </w:r>
    </w:p>
    <w:p w:rsidR="006D0A0A" w:rsidRPr="000A5D3C" w:rsidRDefault="006D0A0A" w:rsidP="006D0A0A">
      <w:pPr>
        <w:jc w:val="center"/>
        <w:rPr>
          <w:rFonts w:cs="Arial"/>
          <w:b/>
          <w:sz w:val="20"/>
        </w:rPr>
      </w:pPr>
      <w:r w:rsidRPr="000A5D3C">
        <w:rPr>
          <w:rFonts w:cs="Arial"/>
          <w:b/>
          <w:sz w:val="20"/>
        </w:rPr>
        <w:t xml:space="preserve">           Prefeito Municipal</w:t>
      </w:r>
    </w:p>
    <w:p w:rsidR="00B625F7" w:rsidRDefault="00B625F7" w:rsidP="00B625F7">
      <w:pPr>
        <w:tabs>
          <w:tab w:val="left" w:pos="1418"/>
        </w:tabs>
        <w:spacing w:before="120" w:line="360" w:lineRule="auto"/>
        <w:jc w:val="center"/>
      </w:pPr>
    </w:p>
    <w:p w:rsidR="00B625F7" w:rsidRPr="00B23FE4" w:rsidRDefault="00B625F7" w:rsidP="00316C5E">
      <w:pPr>
        <w:tabs>
          <w:tab w:val="left" w:pos="1418"/>
        </w:tabs>
        <w:spacing w:before="120" w:line="276" w:lineRule="auto"/>
        <w:jc w:val="center"/>
        <w:rPr>
          <w:b/>
          <w:u w:val="single"/>
        </w:rPr>
      </w:pPr>
      <w:r w:rsidRPr="00B23FE4">
        <w:rPr>
          <w:b/>
          <w:u w:val="single"/>
        </w:rPr>
        <w:lastRenderedPageBreak/>
        <w:t>JUSTIFICATIVA AO PROJETO DE LEI</w:t>
      </w:r>
      <w:r w:rsidR="00B23FE4" w:rsidRPr="00B23FE4">
        <w:rPr>
          <w:b/>
          <w:u w:val="single"/>
        </w:rPr>
        <w:t xml:space="preserve"> nº 046/2013</w:t>
      </w:r>
    </w:p>
    <w:p w:rsidR="00B625F7" w:rsidRDefault="00B625F7" w:rsidP="00316C5E">
      <w:pPr>
        <w:tabs>
          <w:tab w:val="left" w:pos="1418"/>
        </w:tabs>
        <w:spacing w:before="120" w:line="276" w:lineRule="auto"/>
        <w:jc w:val="center"/>
      </w:pPr>
    </w:p>
    <w:p w:rsidR="00B625F7" w:rsidRDefault="00B625F7" w:rsidP="00316C5E">
      <w:pPr>
        <w:tabs>
          <w:tab w:val="left" w:pos="1418"/>
        </w:tabs>
        <w:spacing w:before="120" w:line="276" w:lineRule="auto"/>
        <w:jc w:val="center"/>
      </w:pPr>
    </w:p>
    <w:p w:rsidR="00B625F7" w:rsidRDefault="00B625F7" w:rsidP="00316C5E">
      <w:pPr>
        <w:tabs>
          <w:tab w:val="left" w:pos="1418"/>
        </w:tabs>
        <w:spacing w:before="120" w:line="276" w:lineRule="auto"/>
        <w:jc w:val="center"/>
      </w:pPr>
      <w:r>
        <w:t>Senhores Vereadores:</w:t>
      </w:r>
    </w:p>
    <w:p w:rsidR="00B625F7" w:rsidRDefault="00B625F7" w:rsidP="00316C5E">
      <w:pPr>
        <w:tabs>
          <w:tab w:val="left" w:pos="1418"/>
        </w:tabs>
        <w:spacing w:before="120" w:line="276" w:lineRule="auto"/>
        <w:jc w:val="center"/>
      </w:pPr>
    </w:p>
    <w:p w:rsidR="00B625F7" w:rsidRDefault="00B625F7" w:rsidP="00316C5E">
      <w:pPr>
        <w:tabs>
          <w:tab w:val="left" w:pos="1418"/>
        </w:tabs>
        <w:spacing w:before="120" w:line="276" w:lineRule="auto"/>
        <w:jc w:val="both"/>
      </w:pPr>
      <w:r>
        <w:tab/>
      </w:r>
      <w:r>
        <w:tab/>
      </w:r>
      <w:r w:rsidR="00E135A2">
        <w:tab/>
      </w:r>
      <w:r>
        <w:t>A presente proposta tem por objetivo conceder incentivo à empresa Importadora e Exportadora Acrevi Ltda, cuja matriz está situada no município de Nova Prata, RS.</w:t>
      </w:r>
    </w:p>
    <w:p w:rsidR="00B625F7" w:rsidRDefault="00B625F7" w:rsidP="00316C5E">
      <w:pPr>
        <w:tabs>
          <w:tab w:val="left" w:pos="1418"/>
        </w:tabs>
        <w:spacing w:before="120" w:line="276" w:lineRule="auto"/>
        <w:jc w:val="both"/>
      </w:pPr>
    </w:p>
    <w:p w:rsidR="00B625F7" w:rsidRDefault="00B625F7" w:rsidP="00316C5E">
      <w:pPr>
        <w:tabs>
          <w:tab w:val="left" w:pos="1418"/>
        </w:tabs>
        <w:spacing w:before="120" w:line="276" w:lineRule="auto"/>
        <w:jc w:val="both"/>
      </w:pPr>
      <w:r>
        <w:tab/>
      </w:r>
      <w:r>
        <w:tab/>
      </w:r>
      <w:r w:rsidR="00E135A2">
        <w:tab/>
      </w:r>
      <w:r>
        <w:t xml:space="preserve">A empresa em questão tem interesse em instalar uma unidade em nosso município e com investimento previsto na ordem de R$ 1.200.000,00 (um milhão duzentos mil reais). A empresa projeta implantar a primeira fase até janeiro de 2014 e absorverá mão-de-obra local e também a produção de erva-mate de nosso município. </w:t>
      </w:r>
      <w:r w:rsidR="00433941">
        <w:t xml:space="preserve">Salienta-se que qualquer benefício a ser concedido será precedido de análise por parte dos órgãos técnicos. </w:t>
      </w:r>
    </w:p>
    <w:p w:rsidR="00EF1383" w:rsidRDefault="00EF1383" w:rsidP="00316C5E">
      <w:pPr>
        <w:spacing w:line="276" w:lineRule="auto"/>
        <w:ind w:right="-1"/>
      </w:pPr>
    </w:p>
    <w:p w:rsidR="00B625F7" w:rsidRDefault="00B625F7" w:rsidP="00316C5E">
      <w:pPr>
        <w:spacing w:line="276" w:lineRule="auto"/>
        <w:ind w:right="-1"/>
        <w:jc w:val="both"/>
      </w:pPr>
      <w:r>
        <w:tab/>
      </w:r>
      <w:r>
        <w:tab/>
      </w:r>
      <w:r>
        <w:tab/>
      </w:r>
      <w:r w:rsidR="00E135A2">
        <w:tab/>
      </w:r>
      <w:r>
        <w:t>O c</w:t>
      </w:r>
      <w:r w:rsidR="00BE3023">
        <w:t>usto para o Município importará</w:t>
      </w:r>
      <w:r>
        <w:t xml:space="preserve"> em</w:t>
      </w:r>
      <w:r w:rsidR="00BE3023">
        <w:t xml:space="preserve"> até</w:t>
      </w:r>
      <w:r>
        <w:t xml:space="preserve"> </w:t>
      </w:r>
      <w:r w:rsidR="00BE3023">
        <w:t>R$ 63.000,00</w:t>
      </w:r>
      <w:r>
        <w:t xml:space="preserve"> consistente na aquisição de </w:t>
      </w:r>
      <w:r w:rsidR="00BE3023">
        <w:t>um terreno, além de terraplanagem e escavação, da instalação da rede de água potável até o medidor de consumo e também acesso da via pública até a entrada da obra.</w:t>
      </w:r>
    </w:p>
    <w:p w:rsidR="00B625F7" w:rsidRDefault="00B625F7" w:rsidP="00316C5E">
      <w:pPr>
        <w:spacing w:line="276" w:lineRule="auto"/>
        <w:ind w:right="-1"/>
        <w:jc w:val="both"/>
      </w:pPr>
    </w:p>
    <w:p w:rsidR="00316C5E" w:rsidRDefault="00B625F7" w:rsidP="00316C5E">
      <w:pPr>
        <w:spacing w:line="276" w:lineRule="auto"/>
        <w:ind w:right="-1"/>
        <w:jc w:val="both"/>
      </w:pPr>
      <w:r>
        <w:tab/>
      </w:r>
      <w:r>
        <w:tab/>
      </w:r>
      <w:r>
        <w:tab/>
      </w:r>
      <w:r w:rsidR="00E135A2">
        <w:tab/>
      </w:r>
      <w:r>
        <w:t xml:space="preserve">De grande importância destacar que a </w:t>
      </w:r>
      <w:r w:rsidR="00371936">
        <w:t xml:space="preserve">doação do terreno e demais </w:t>
      </w:r>
      <w:r w:rsidR="006F52E6">
        <w:t>benefícios serão precedidos de Carta de Intenções e o compromisso se dará mediante escritura públic</w:t>
      </w:r>
      <w:r w:rsidR="00BE3023">
        <w:t>a com cláusula expressa de reversão ao patrimônio municipal</w:t>
      </w:r>
      <w:r w:rsidR="006F52E6">
        <w:t>, preservando assim os i</w:t>
      </w:r>
      <w:r w:rsidR="006A6D82">
        <w:t>nteresses do município</w:t>
      </w:r>
      <w:r w:rsidR="00BE3023">
        <w:t xml:space="preserve"> pelos próximos dez anos, </w:t>
      </w:r>
      <w:r w:rsidR="006A6D82">
        <w:t xml:space="preserve">caso a empresa </w:t>
      </w:r>
      <w:r w:rsidR="006F52E6">
        <w:t xml:space="preserve">não </w:t>
      </w:r>
      <w:r w:rsidR="00316C5E">
        <w:t xml:space="preserve">atingir </w:t>
      </w:r>
      <w:r w:rsidR="006F52E6">
        <w:t xml:space="preserve">as metas ou </w:t>
      </w:r>
      <w:r w:rsidR="00316C5E">
        <w:t>cessar suas atividades</w:t>
      </w:r>
      <w:r w:rsidR="00BE3023">
        <w:t xml:space="preserve"> prematuramente.</w:t>
      </w:r>
    </w:p>
    <w:p w:rsidR="00E135A2" w:rsidRDefault="00E135A2" w:rsidP="00316C5E">
      <w:pPr>
        <w:spacing w:line="276" w:lineRule="auto"/>
        <w:ind w:right="-1"/>
        <w:jc w:val="both"/>
      </w:pPr>
    </w:p>
    <w:p w:rsidR="00E135A2" w:rsidRDefault="00E135A2" w:rsidP="00316C5E">
      <w:pPr>
        <w:spacing w:line="276" w:lineRule="auto"/>
        <w:ind w:right="-1"/>
        <w:jc w:val="both"/>
      </w:pPr>
      <w:r>
        <w:tab/>
      </w:r>
      <w:r>
        <w:tab/>
      </w:r>
      <w:r>
        <w:tab/>
      </w:r>
      <w:r>
        <w:tab/>
        <w:t>À Vossa consideração.</w:t>
      </w:r>
    </w:p>
    <w:p w:rsidR="00E135A2" w:rsidRDefault="00E135A2" w:rsidP="00316C5E">
      <w:pPr>
        <w:spacing w:line="276" w:lineRule="auto"/>
        <w:ind w:right="-1"/>
        <w:jc w:val="both"/>
      </w:pPr>
    </w:p>
    <w:p w:rsidR="00E135A2" w:rsidRDefault="00E135A2" w:rsidP="00E135A2">
      <w:pPr>
        <w:spacing w:line="276" w:lineRule="auto"/>
        <w:ind w:right="-1"/>
        <w:jc w:val="center"/>
      </w:pPr>
    </w:p>
    <w:p w:rsidR="00B23FE4" w:rsidRPr="003F506B" w:rsidRDefault="00B23FE4" w:rsidP="00B23FE4">
      <w:pPr>
        <w:spacing w:line="360" w:lineRule="auto"/>
        <w:jc w:val="center"/>
        <w:rPr>
          <w:rFonts w:cs="Arial"/>
          <w:b/>
        </w:rPr>
      </w:pPr>
      <w:r w:rsidRPr="003F506B">
        <w:rPr>
          <w:rFonts w:cs="Arial"/>
          <w:b/>
        </w:rPr>
        <w:t xml:space="preserve">ANTA GORDA, </w:t>
      </w:r>
      <w:r>
        <w:rPr>
          <w:rFonts w:cs="Arial"/>
          <w:b/>
        </w:rPr>
        <w:t>24</w:t>
      </w:r>
      <w:r w:rsidRPr="003F506B">
        <w:rPr>
          <w:rFonts w:cs="Arial"/>
          <w:b/>
        </w:rPr>
        <w:t xml:space="preserve"> DE </w:t>
      </w:r>
      <w:r>
        <w:rPr>
          <w:rFonts w:cs="Arial"/>
          <w:b/>
        </w:rPr>
        <w:t>JUNHO</w:t>
      </w:r>
      <w:r w:rsidRPr="003F506B">
        <w:rPr>
          <w:rFonts w:cs="Arial"/>
          <w:b/>
        </w:rPr>
        <w:t xml:space="preserve"> DE 2013.</w:t>
      </w:r>
    </w:p>
    <w:p w:rsidR="00B23FE4" w:rsidRDefault="00B23FE4" w:rsidP="00E135A2">
      <w:pPr>
        <w:tabs>
          <w:tab w:val="left" w:pos="1418"/>
        </w:tabs>
        <w:spacing w:before="120" w:line="360" w:lineRule="auto"/>
        <w:jc w:val="center"/>
      </w:pPr>
    </w:p>
    <w:p w:rsidR="00E135A2" w:rsidRDefault="00E135A2" w:rsidP="00E135A2">
      <w:pPr>
        <w:tabs>
          <w:tab w:val="left" w:pos="1418"/>
        </w:tabs>
        <w:spacing w:before="120" w:line="360" w:lineRule="auto"/>
        <w:jc w:val="center"/>
      </w:pPr>
      <w:r>
        <w:t>Neori Luis Dalla Vecchia</w:t>
      </w:r>
    </w:p>
    <w:p w:rsidR="00B625F7" w:rsidRDefault="00E135A2" w:rsidP="00433941">
      <w:pPr>
        <w:tabs>
          <w:tab w:val="left" w:pos="1418"/>
        </w:tabs>
        <w:spacing w:before="120" w:line="360" w:lineRule="auto"/>
        <w:jc w:val="center"/>
      </w:pPr>
      <w:r>
        <w:t>Prefeito Municipal</w:t>
      </w:r>
      <w:r w:rsidR="006F52E6">
        <w:t xml:space="preserve"> </w:t>
      </w:r>
    </w:p>
    <w:p w:rsidR="00B23FE4" w:rsidRDefault="00B23FE4" w:rsidP="00433941">
      <w:pPr>
        <w:tabs>
          <w:tab w:val="left" w:pos="1418"/>
        </w:tabs>
        <w:spacing w:before="120" w:line="360" w:lineRule="auto"/>
        <w:jc w:val="center"/>
      </w:pPr>
    </w:p>
    <w:p w:rsidR="00B23FE4" w:rsidRDefault="00B23FE4" w:rsidP="00433941">
      <w:pPr>
        <w:tabs>
          <w:tab w:val="left" w:pos="1418"/>
        </w:tabs>
        <w:spacing w:before="120" w:line="360" w:lineRule="auto"/>
        <w:jc w:val="center"/>
      </w:pPr>
    </w:p>
    <w:p w:rsidR="00B23FE4" w:rsidRDefault="00B23FE4" w:rsidP="00433941">
      <w:pPr>
        <w:tabs>
          <w:tab w:val="left" w:pos="1418"/>
        </w:tabs>
        <w:spacing w:before="120" w:line="360" w:lineRule="auto"/>
        <w:jc w:val="center"/>
      </w:pPr>
    </w:p>
    <w:p w:rsidR="00B23FE4" w:rsidRDefault="00B23FE4" w:rsidP="00433941">
      <w:pPr>
        <w:tabs>
          <w:tab w:val="left" w:pos="1418"/>
        </w:tabs>
        <w:spacing w:before="120" w:line="360" w:lineRule="auto"/>
        <w:jc w:val="center"/>
      </w:pPr>
    </w:p>
    <w:p w:rsidR="00B23FE4" w:rsidRDefault="00B23FE4" w:rsidP="00433941">
      <w:pPr>
        <w:tabs>
          <w:tab w:val="left" w:pos="1418"/>
        </w:tabs>
        <w:spacing w:before="12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400040" cy="7431673"/>
            <wp:effectExtent l="19050" t="0" r="0" b="0"/>
            <wp:docPr id="1" name="Imagem 1" descr="C:\Users\User\AppData\Local\Microsoft\Windows\Temporary Internet Files\Content.Outlook\L24TAG3Z\requerimen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24TAG3Z\requerimento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FE4" w:rsidSect="00F8495C">
      <w:pgSz w:w="11906" w:h="16838"/>
      <w:pgMar w:top="1701" w:right="198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83" w:rsidRDefault="00D44783" w:rsidP="0047482F">
      <w:r>
        <w:separator/>
      </w:r>
    </w:p>
  </w:endnote>
  <w:endnote w:type="continuationSeparator" w:id="1">
    <w:p w:rsidR="00D44783" w:rsidRDefault="00D44783" w:rsidP="0047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83" w:rsidRDefault="00D44783" w:rsidP="0047482F">
      <w:r>
        <w:separator/>
      </w:r>
    </w:p>
  </w:footnote>
  <w:footnote w:type="continuationSeparator" w:id="1">
    <w:p w:rsidR="00D44783" w:rsidRDefault="00D44783" w:rsidP="0047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82F"/>
    <w:rsid w:val="000056E7"/>
    <w:rsid w:val="00103C25"/>
    <w:rsid w:val="001D06CD"/>
    <w:rsid w:val="00217E38"/>
    <w:rsid w:val="00247613"/>
    <w:rsid w:val="00316C5E"/>
    <w:rsid w:val="003608EC"/>
    <w:rsid w:val="00371936"/>
    <w:rsid w:val="003B2ED7"/>
    <w:rsid w:val="003F0F94"/>
    <w:rsid w:val="00433941"/>
    <w:rsid w:val="0047482F"/>
    <w:rsid w:val="004C45D9"/>
    <w:rsid w:val="004F092D"/>
    <w:rsid w:val="005873D6"/>
    <w:rsid w:val="006A0EA4"/>
    <w:rsid w:val="006A6D82"/>
    <w:rsid w:val="006D0A0A"/>
    <w:rsid w:val="006F52E6"/>
    <w:rsid w:val="00730EB5"/>
    <w:rsid w:val="008F7A9E"/>
    <w:rsid w:val="009E7F46"/>
    <w:rsid w:val="00B23FE4"/>
    <w:rsid w:val="00B625F7"/>
    <w:rsid w:val="00B81C06"/>
    <w:rsid w:val="00B83FCC"/>
    <w:rsid w:val="00BE3023"/>
    <w:rsid w:val="00C46A74"/>
    <w:rsid w:val="00C53B4E"/>
    <w:rsid w:val="00D21C30"/>
    <w:rsid w:val="00D223FB"/>
    <w:rsid w:val="00D44783"/>
    <w:rsid w:val="00E135A2"/>
    <w:rsid w:val="00EF1383"/>
    <w:rsid w:val="00F8495C"/>
    <w:rsid w:val="00F9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9" w:line="220" w:lineRule="exact"/>
        <w:ind w:left="1644" w:right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2F"/>
    <w:pPr>
      <w:spacing w:before="0" w:line="240" w:lineRule="auto"/>
      <w:ind w:left="0" w:right="0"/>
      <w:jc w:val="left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482F"/>
    <w:pPr>
      <w:keepNext/>
      <w:tabs>
        <w:tab w:val="left" w:pos="4253"/>
      </w:tabs>
      <w:spacing w:before="120"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47482F"/>
    <w:pPr>
      <w:keepNext/>
      <w:tabs>
        <w:tab w:val="left" w:pos="1418"/>
        <w:tab w:val="left" w:pos="4253"/>
      </w:tabs>
      <w:spacing w:before="120" w:line="360" w:lineRule="auto"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482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482F"/>
    <w:rPr>
      <w:rFonts w:ascii="Arial" w:eastAsia="Times New Roman" w:hAnsi="Arial" w:cs="Times New Roman"/>
      <w:b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7482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482F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47482F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47482F"/>
    <w:pPr>
      <w:tabs>
        <w:tab w:val="left" w:pos="4253"/>
        <w:tab w:val="left" w:pos="5387"/>
      </w:tabs>
      <w:ind w:left="425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7482F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7482F"/>
    <w:pPr>
      <w:tabs>
        <w:tab w:val="left" w:pos="1418"/>
      </w:tabs>
      <w:spacing w:before="12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7482F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FE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23FE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B23F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1416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2013-06-24T17:21:00Z</cp:lastPrinted>
  <dcterms:created xsi:type="dcterms:W3CDTF">2013-06-24T16:52:00Z</dcterms:created>
  <dcterms:modified xsi:type="dcterms:W3CDTF">2013-06-24T17:27:00Z</dcterms:modified>
</cp:coreProperties>
</file>