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8" w:rsidRDefault="000C44C8" w:rsidP="000C44C8">
      <w:pPr>
        <w:spacing w:line="36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0C44C8" w:rsidRPr="00BC5438" w:rsidRDefault="000C44C8" w:rsidP="000C44C8">
      <w:pPr>
        <w:spacing w:line="36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C5438">
        <w:rPr>
          <w:rFonts w:ascii="Arial" w:eastAsia="Calibri" w:hAnsi="Arial" w:cs="Arial"/>
          <w:bCs/>
          <w:sz w:val="21"/>
          <w:szCs w:val="21"/>
        </w:rPr>
        <w:t>Lei</w:t>
      </w:r>
      <w:r>
        <w:rPr>
          <w:rFonts w:ascii="Arial" w:eastAsia="Calibri" w:hAnsi="Arial" w:cs="Arial"/>
          <w:bCs/>
          <w:sz w:val="21"/>
          <w:szCs w:val="21"/>
        </w:rPr>
        <w:t xml:space="preserve"> Municipal</w:t>
      </w:r>
      <w:r w:rsidRPr="00BC5438">
        <w:rPr>
          <w:rFonts w:ascii="Arial" w:eastAsia="Calibri" w:hAnsi="Arial" w:cs="Arial"/>
          <w:bCs/>
          <w:sz w:val="21"/>
          <w:szCs w:val="21"/>
        </w:rPr>
        <w:t xml:space="preserve"> nº </w:t>
      </w:r>
      <w:r>
        <w:rPr>
          <w:rFonts w:ascii="Arial" w:eastAsia="Calibri" w:hAnsi="Arial" w:cs="Arial"/>
          <w:bCs/>
          <w:sz w:val="21"/>
          <w:szCs w:val="21"/>
        </w:rPr>
        <w:t>2.614</w:t>
      </w:r>
      <w:r w:rsidRPr="00BC5438">
        <w:rPr>
          <w:rFonts w:ascii="Arial" w:eastAsia="Calibri" w:hAnsi="Arial" w:cs="Arial"/>
          <w:bCs/>
          <w:sz w:val="21"/>
          <w:szCs w:val="21"/>
        </w:rPr>
        <w:t>/202</w:t>
      </w:r>
      <w:r>
        <w:rPr>
          <w:rFonts w:ascii="Arial" w:eastAsia="Calibri" w:hAnsi="Arial" w:cs="Arial"/>
          <w:bCs/>
          <w:sz w:val="21"/>
          <w:szCs w:val="21"/>
        </w:rPr>
        <w:t>2</w:t>
      </w:r>
      <w:r w:rsidRPr="00BC5438">
        <w:rPr>
          <w:rFonts w:ascii="Arial" w:eastAsia="Calibri" w:hAnsi="Arial" w:cs="Arial"/>
          <w:bCs/>
          <w:sz w:val="21"/>
          <w:szCs w:val="21"/>
        </w:rPr>
        <w:t xml:space="preserve">, de </w:t>
      </w:r>
      <w:r>
        <w:rPr>
          <w:rFonts w:ascii="Arial" w:eastAsia="Calibri" w:hAnsi="Arial" w:cs="Arial"/>
          <w:bCs/>
          <w:sz w:val="21"/>
          <w:szCs w:val="21"/>
        </w:rPr>
        <w:t>19</w:t>
      </w:r>
      <w:r w:rsidRPr="00BC5438">
        <w:rPr>
          <w:rFonts w:ascii="Arial" w:eastAsia="Calibri" w:hAnsi="Arial" w:cs="Arial"/>
          <w:bCs/>
          <w:sz w:val="21"/>
          <w:szCs w:val="21"/>
        </w:rPr>
        <w:t xml:space="preserve"> de </w:t>
      </w:r>
      <w:r>
        <w:rPr>
          <w:rFonts w:ascii="Arial" w:eastAsia="Calibri" w:hAnsi="Arial" w:cs="Arial"/>
          <w:bCs/>
          <w:sz w:val="21"/>
          <w:szCs w:val="21"/>
        </w:rPr>
        <w:t>dezembro</w:t>
      </w:r>
      <w:r w:rsidRPr="00BC5438">
        <w:rPr>
          <w:rFonts w:ascii="Arial" w:eastAsia="Calibri" w:hAnsi="Arial" w:cs="Arial"/>
          <w:bCs/>
          <w:sz w:val="21"/>
          <w:szCs w:val="21"/>
        </w:rPr>
        <w:t xml:space="preserve"> de 202</w:t>
      </w:r>
      <w:r>
        <w:rPr>
          <w:rFonts w:ascii="Arial" w:eastAsia="Calibri" w:hAnsi="Arial" w:cs="Arial"/>
          <w:bCs/>
          <w:sz w:val="21"/>
          <w:szCs w:val="21"/>
        </w:rPr>
        <w:t>2</w:t>
      </w:r>
      <w:r w:rsidRPr="00BC5438">
        <w:rPr>
          <w:rFonts w:ascii="Arial" w:eastAsia="Calibri" w:hAnsi="Arial" w:cs="Arial"/>
          <w:bCs/>
          <w:sz w:val="21"/>
          <w:szCs w:val="21"/>
        </w:rPr>
        <w:t>.</w:t>
      </w:r>
    </w:p>
    <w:p w:rsidR="000C44C8" w:rsidRPr="00BC5438" w:rsidRDefault="000C44C8" w:rsidP="000C44C8">
      <w:pPr>
        <w:spacing w:after="0" w:line="360" w:lineRule="auto"/>
        <w:ind w:left="4247" w:firstLine="6"/>
        <w:jc w:val="both"/>
        <w:rPr>
          <w:rFonts w:ascii="Arial" w:eastAsia="Times New Roman" w:hAnsi="Arial" w:cs="Arial"/>
          <w:i/>
          <w:sz w:val="21"/>
          <w:szCs w:val="21"/>
          <w:lang w:val="x-none" w:eastAsia="x-none"/>
        </w:rPr>
      </w:pPr>
      <w:r w:rsidRPr="00BC5438">
        <w:rPr>
          <w:rFonts w:ascii="Arial" w:eastAsia="Times New Roman" w:hAnsi="Arial" w:cs="Arial"/>
          <w:i/>
          <w:sz w:val="21"/>
          <w:szCs w:val="21"/>
          <w:lang w:val="x-none" w:eastAsia="x-none"/>
        </w:rPr>
        <w:t>“Estima a Receita e fixa a Despesa do Município de Anta Gorda para o exercício financeiro de 20</w:t>
      </w:r>
      <w:r w:rsidRPr="00BC5438">
        <w:rPr>
          <w:rFonts w:ascii="Arial" w:eastAsia="Times New Roman" w:hAnsi="Arial" w:cs="Arial"/>
          <w:i/>
          <w:sz w:val="21"/>
          <w:szCs w:val="21"/>
          <w:lang w:eastAsia="x-none"/>
        </w:rPr>
        <w:t>2</w:t>
      </w:r>
      <w:r>
        <w:rPr>
          <w:rFonts w:ascii="Arial" w:eastAsia="Times New Roman" w:hAnsi="Arial" w:cs="Arial"/>
          <w:i/>
          <w:sz w:val="21"/>
          <w:szCs w:val="21"/>
          <w:lang w:eastAsia="x-none"/>
        </w:rPr>
        <w:t>3</w:t>
      </w:r>
      <w:r w:rsidRPr="00BC5438">
        <w:rPr>
          <w:rFonts w:ascii="Arial" w:eastAsia="Times New Roman" w:hAnsi="Arial" w:cs="Arial"/>
          <w:i/>
          <w:sz w:val="21"/>
          <w:szCs w:val="21"/>
          <w:lang w:val="x-none" w:eastAsia="x-none"/>
        </w:rPr>
        <w:t>.”</w:t>
      </w:r>
    </w:p>
    <w:p w:rsidR="000C44C8" w:rsidRPr="00BC5438" w:rsidRDefault="000C44C8" w:rsidP="000C44C8">
      <w:pPr>
        <w:spacing w:after="0" w:line="360" w:lineRule="auto"/>
        <w:ind w:left="4247" w:firstLine="6"/>
        <w:jc w:val="both"/>
        <w:rPr>
          <w:rFonts w:ascii="Arial" w:eastAsia="Times New Roman" w:hAnsi="Arial" w:cs="Arial"/>
          <w:i/>
          <w:sz w:val="21"/>
          <w:szCs w:val="21"/>
          <w:lang w:val="x-none" w:eastAsia="x-none"/>
        </w:rPr>
      </w:pP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Times New Roman" w:hAnsi="Arial" w:cs="Arial"/>
          <w:sz w:val="21"/>
          <w:szCs w:val="21"/>
          <w:lang w:eastAsia="pt-BR"/>
        </w:rPr>
        <w:t xml:space="preserve">            Francisco David </w:t>
      </w:r>
      <w:proofErr w:type="spellStart"/>
      <w:r w:rsidRPr="00BC5438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BC5438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</w:t>
      </w:r>
      <w:r w:rsidRPr="00BC5438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, </w:t>
      </w:r>
      <w:r w:rsidRPr="00BC5438">
        <w:rPr>
          <w:rFonts w:ascii="Arial" w:eastAsia="Times New Roman" w:hAnsi="Arial" w:cs="Arial"/>
          <w:sz w:val="21"/>
          <w:szCs w:val="21"/>
          <w:lang w:eastAsia="pt-BR"/>
        </w:rPr>
        <w:t xml:space="preserve">no uso das atribuições que lhe confere </w:t>
      </w:r>
      <w:r w:rsidRPr="00BC5438">
        <w:rPr>
          <w:rFonts w:ascii="Arial" w:eastAsia="Calibri" w:hAnsi="Arial" w:cs="Arial"/>
          <w:sz w:val="21"/>
          <w:szCs w:val="21"/>
        </w:rPr>
        <w:t xml:space="preserve">a Lei Orgânica Municipal, </w:t>
      </w: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           Faço saber,</w:t>
      </w:r>
      <w:r w:rsidRPr="00BC5438">
        <w:rPr>
          <w:rFonts w:ascii="Arial" w:eastAsia="Times New Roman" w:hAnsi="Arial" w:cs="Arial"/>
          <w:sz w:val="21"/>
          <w:szCs w:val="21"/>
          <w:lang w:eastAsia="pt-BR"/>
        </w:rPr>
        <w:t xml:space="preserve"> que a Câmara Municipal de Vereadores aprovou e eu sanciono e promulgo a presente Lei:</w:t>
      </w: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6"/>
        <w:rPr>
          <w:rFonts w:ascii="Arial" w:eastAsia="Times New Roman" w:hAnsi="Arial" w:cs="Arial"/>
          <w:b/>
          <w:iCs/>
          <w:sz w:val="21"/>
          <w:szCs w:val="21"/>
        </w:rPr>
      </w:pPr>
      <w:r w:rsidRPr="00BC5438">
        <w:rPr>
          <w:rFonts w:ascii="Arial" w:eastAsia="Times New Roman" w:hAnsi="Arial" w:cs="Arial"/>
          <w:b/>
          <w:iCs/>
          <w:sz w:val="21"/>
          <w:szCs w:val="21"/>
        </w:rPr>
        <w:t>SEÇÃO I</w:t>
      </w:r>
    </w:p>
    <w:p w:rsidR="000C44C8" w:rsidRPr="00BC5438" w:rsidRDefault="000C44C8" w:rsidP="000C44C8">
      <w:pPr>
        <w:widowControl w:val="0"/>
        <w:autoSpaceDE w:val="0"/>
        <w:autoSpaceDN w:val="0"/>
        <w:spacing w:after="0" w:line="360" w:lineRule="auto"/>
        <w:ind w:left="101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</w:pPr>
      <w:r w:rsidRPr="00BC5438"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  <w:t>DISPOSIÇÕES PRELIMINARES</w:t>
      </w:r>
    </w:p>
    <w:p w:rsidR="000C44C8" w:rsidRPr="00BC5438" w:rsidRDefault="000C44C8" w:rsidP="000C44C8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C44C8" w:rsidRPr="00BC5438" w:rsidRDefault="000C44C8" w:rsidP="000C44C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1º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Esta Lei estima a Receita e fixa a Despesa do Município para o exercício financeiro de 202</w:t>
      </w:r>
      <w:r>
        <w:rPr>
          <w:rFonts w:ascii="Arial" w:eastAsia="Calibri" w:hAnsi="Arial" w:cs="Arial"/>
          <w:snapToGrid w:val="0"/>
          <w:sz w:val="21"/>
          <w:szCs w:val="21"/>
        </w:rPr>
        <w:t>3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, compreendendo:</w:t>
      </w:r>
    </w:p>
    <w:p w:rsidR="000C44C8" w:rsidRPr="00BC5438" w:rsidRDefault="000C44C8" w:rsidP="000C44C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ab/>
        <w:t>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O Orçamento Fiscal, referente aos Poderes do Município, seus fundos, órgãos e entidades da Administração Pública Municipal Direta;</w:t>
      </w:r>
    </w:p>
    <w:p w:rsidR="000C44C8" w:rsidRPr="00BC5438" w:rsidRDefault="000C44C8" w:rsidP="000C44C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ab/>
        <w:t>II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O Orçamento da Seguridade Social, abrangendo todas as entidades e órgãos da Administração Direta;</w:t>
      </w:r>
    </w:p>
    <w:p w:rsidR="000C44C8" w:rsidRPr="00BC5438" w:rsidRDefault="000C44C8" w:rsidP="000C44C8">
      <w:pPr>
        <w:tabs>
          <w:tab w:val="left" w:pos="4065"/>
        </w:tabs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6"/>
        <w:rPr>
          <w:rFonts w:ascii="Arial" w:eastAsia="Times New Roman" w:hAnsi="Arial" w:cs="Arial"/>
          <w:b/>
          <w:iCs/>
          <w:sz w:val="21"/>
          <w:szCs w:val="21"/>
        </w:rPr>
      </w:pPr>
      <w:r w:rsidRPr="00BC5438">
        <w:rPr>
          <w:rFonts w:ascii="Arial" w:eastAsia="Times New Roman" w:hAnsi="Arial" w:cs="Arial"/>
          <w:b/>
          <w:iCs/>
          <w:sz w:val="21"/>
          <w:szCs w:val="21"/>
        </w:rPr>
        <w:t>SEÇÃO II</w:t>
      </w: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6"/>
        <w:rPr>
          <w:rFonts w:ascii="Arial" w:eastAsia="Times New Roman" w:hAnsi="Arial" w:cs="Arial"/>
          <w:b/>
          <w:iCs/>
          <w:sz w:val="21"/>
          <w:szCs w:val="21"/>
        </w:rPr>
      </w:pPr>
      <w:r w:rsidRPr="00BC5438">
        <w:rPr>
          <w:rFonts w:ascii="Arial" w:eastAsia="Times New Roman" w:hAnsi="Arial" w:cs="Arial"/>
          <w:b/>
          <w:iCs/>
          <w:sz w:val="21"/>
          <w:szCs w:val="21"/>
        </w:rPr>
        <w:t>DO ORÇAMENTO FISCAL E DA SEGURIDADE SOCIAL</w:t>
      </w:r>
    </w:p>
    <w:p w:rsidR="000C44C8" w:rsidRPr="00BC5438" w:rsidRDefault="000C44C8" w:rsidP="000C44C8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</w:p>
    <w:p w:rsidR="000C44C8" w:rsidRPr="00BC5438" w:rsidRDefault="000C44C8" w:rsidP="000C44C8">
      <w:pPr>
        <w:widowControl w:val="0"/>
        <w:autoSpaceDE w:val="0"/>
        <w:autoSpaceDN w:val="0"/>
        <w:spacing w:after="0" w:line="360" w:lineRule="auto"/>
        <w:ind w:left="101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</w:pPr>
      <w:r w:rsidRPr="00BC5438"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  <w:t>Subseção I</w:t>
      </w:r>
    </w:p>
    <w:p w:rsidR="000C44C8" w:rsidRPr="00BC5438" w:rsidRDefault="000C44C8" w:rsidP="000C44C8">
      <w:pPr>
        <w:spacing w:line="360" w:lineRule="auto"/>
        <w:jc w:val="center"/>
        <w:rPr>
          <w:rFonts w:ascii="Arial" w:eastAsia="Calibri" w:hAnsi="Arial" w:cs="Arial"/>
          <w:b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Da Estimativa da Receita</w:t>
      </w:r>
    </w:p>
    <w:p w:rsidR="000C44C8" w:rsidRPr="00BC5438" w:rsidRDefault="000C44C8" w:rsidP="000C44C8">
      <w:pPr>
        <w:spacing w:after="120" w:line="360" w:lineRule="auto"/>
        <w:ind w:firstLine="709"/>
        <w:jc w:val="both"/>
        <w:rPr>
          <w:rFonts w:ascii="Arial" w:eastAsia="Calibri" w:hAnsi="Arial" w:cs="Arial"/>
          <w:caps/>
          <w:sz w:val="21"/>
          <w:szCs w:val="21"/>
        </w:rPr>
      </w:pPr>
      <w:r w:rsidRPr="00D752DD">
        <w:rPr>
          <w:rFonts w:ascii="Arial" w:eastAsia="Calibri" w:hAnsi="Arial" w:cs="Arial"/>
          <w:b/>
          <w:sz w:val="21"/>
          <w:szCs w:val="21"/>
        </w:rPr>
        <w:t>Art. 2º</w:t>
      </w:r>
      <w:r w:rsidRPr="00D752DD">
        <w:rPr>
          <w:rFonts w:ascii="Arial" w:eastAsia="Calibri" w:hAnsi="Arial" w:cs="Arial"/>
          <w:sz w:val="21"/>
          <w:szCs w:val="21"/>
        </w:rPr>
        <w:t xml:space="preserve"> A Receita Orçamentária é estimada, no mesmo valor da Despesa, em R$ 41.500.000,00 (quarenta e um milhões e quinhentos mil reais).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b/>
          <w:i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Art. 3º</w:t>
      </w:r>
      <w:r w:rsidRPr="00BC5438">
        <w:rPr>
          <w:rFonts w:ascii="Arial" w:eastAsia="Calibri" w:hAnsi="Arial" w:cs="Arial"/>
          <w:sz w:val="21"/>
          <w:szCs w:val="21"/>
        </w:rPr>
        <w:t xml:space="preserve"> A estimativa da receita por Categoria Econômica, segundo a origem dos recursos, será realizada com base no produto do que for arrecadado, na forma da legislação vigente e de acordo com o anexo integrante desta Lei. </w:t>
      </w: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4"/>
        <w:rPr>
          <w:rFonts w:ascii="Arial" w:eastAsia="Times New Roman" w:hAnsi="Arial" w:cs="Arial"/>
          <w:b/>
          <w:snapToGrid w:val="0"/>
          <w:sz w:val="21"/>
          <w:szCs w:val="21"/>
        </w:rPr>
      </w:pPr>
      <w:r w:rsidRPr="00BC5438">
        <w:rPr>
          <w:rFonts w:ascii="Arial" w:eastAsia="Times New Roman" w:hAnsi="Arial" w:cs="Arial"/>
          <w:b/>
          <w:snapToGrid w:val="0"/>
          <w:sz w:val="21"/>
          <w:szCs w:val="21"/>
        </w:rPr>
        <w:lastRenderedPageBreak/>
        <w:t>Subseção II</w:t>
      </w: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t>Da Fixação da Despesa</w:t>
      </w:r>
    </w:p>
    <w:p w:rsidR="000C44C8" w:rsidRPr="00BC5438" w:rsidRDefault="000C44C8" w:rsidP="000C44C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>Art. 4º</w:t>
      </w:r>
      <w:r w:rsidRPr="00BC5438">
        <w:rPr>
          <w:rFonts w:ascii="Arial" w:eastAsia="Calibri" w:hAnsi="Arial" w:cs="Arial"/>
          <w:sz w:val="21"/>
          <w:szCs w:val="21"/>
        </w:rPr>
        <w:t xml:space="preserve"> A Despesa Orçamentária, no mesmo valor da Receita Orçamentária, é fixada em R</w:t>
      </w:r>
      <w:r w:rsidRPr="00D752DD">
        <w:rPr>
          <w:rFonts w:ascii="Arial" w:eastAsia="Calibri" w:hAnsi="Arial" w:cs="Arial"/>
          <w:sz w:val="21"/>
          <w:szCs w:val="21"/>
        </w:rPr>
        <w:t>$ 41.500.000,00 (quarenta e um milhões e quinhentos mil reais), estando</w:t>
      </w:r>
      <w:r w:rsidRPr="00BC5438">
        <w:rPr>
          <w:rFonts w:ascii="Arial" w:eastAsia="Calibri" w:hAnsi="Arial" w:cs="Arial"/>
          <w:sz w:val="21"/>
          <w:szCs w:val="21"/>
        </w:rPr>
        <w:t xml:space="preserve"> definida nos anexos que fazem parte da presente Lei.</w:t>
      </w:r>
    </w:p>
    <w:p w:rsidR="000C44C8" w:rsidRPr="00BC5438" w:rsidRDefault="000C44C8" w:rsidP="000C44C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>Art. 5º</w:t>
      </w:r>
      <w:r w:rsidRPr="00BC5438">
        <w:rPr>
          <w:rFonts w:ascii="Arial" w:eastAsia="Calibri" w:hAnsi="Arial" w:cs="Arial"/>
          <w:sz w:val="21"/>
          <w:szCs w:val="21"/>
        </w:rPr>
        <w:t xml:space="preserve"> A despesa total fixada por Função, Poderes e Órgãos, as consolidações dos quadros orçamentários e demonstrativos por Órgão estão definidos nos anexos integrantes da presente Lei.</w:t>
      </w:r>
    </w:p>
    <w:p w:rsidR="000C44C8" w:rsidRPr="00BC5438" w:rsidRDefault="000C44C8" w:rsidP="000C44C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 xml:space="preserve"> Art. 6º</w:t>
      </w:r>
      <w:r w:rsidRPr="00BC5438">
        <w:rPr>
          <w:rFonts w:ascii="Arial" w:eastAsia="Calibri" w:hAnsi="Arial" w:cs="Arial"/>
          <w:sz w:val="21"/>
          <w:szCs w:val="21"/>
        </w:rPr>
        <w:t xml:space="preserve"> Integram esta Lei, nos termos da Lei </w:t>
      </w:r>
      <w:r w:rsidRPr="00D752DD">
        <w:rPr>
          <w:rFonts w:ascii="Arial" w:eastAsia="Calibri" w:hAnsi="Arial" w:cs="Arial"/>
          <w:sz w:val="21"/>
          <w:szCs w:val="21"/>
        </w:rPr>
        <w:t xml:space="preserve">Municipal nº 2.608/2022, que dispõe sobre as Diretrizes Orçamentárias para o Exercício Financeiro de 2023, os </w:t>
      </w:r>
      <w:r w:rsidRPr="00BC5438">
        <w:rPr>
          <w:rFonts w:ascii="Arial" w:eastAsia="Calibri" w:hAnsi="Arial" w:cs="Arial"/>
          <w:sz w:val="21"/>
          <w:szCs w:val="21"/>
        </w:rPr>
        <w:t>anexos contendo os quadros orçamentários e demonstrativos das Receitas e Despesas, a programação de trabalho das unidades orçamentárias e o detalhamento dos créditos orçamentários.</w:t>
      </w:r>
    </w:p>
    <w:p w:rsidR="000C44C8" w:rsidRPr="00BC5438" w:rsidRDefault="000C44C8" w:rsidP="000C44C8">
      <w:pPr>
        <w:spacing w:line="360" w:lineRule="auto"/>
        <w:ind w:firstLine="709"/>
        <w:jc w:val="center"/>
        <w:rPr>
          <w:rFonts w:ascii="Arial" w:eastAsia="Calibri" w:hAnsi="Arial" w:cs="Arial"/>
          <w:sz w:val="21"/>
          <w:szCs w:val="21"/>
        </w:rPr>
      </w:pPr>
    </w:p>
    <w:p w:rsidR="000C44C8" w:rsidRPr="00BC5438" w:rsidRDefault="000C44C8" w:rsidP="000C44C8">
      <w:pPr>
        <w:keepNext/>
        <w:keepLines/>
        <w:spacing w:before="40" w:after="0" w:line="360" w:lineRule="auto"/>
        <w:jc w:val="center"/>
        <w:outlineLvl w:val="1"/>
        <w:rPr>
          <w:rFonts w:ascii="Arial" w:eastAsia="Times New Roman" w:hAnsi="Arial" w:cs="Arial"/>
          <w:b/>
          <w:snapToGrid w:val="0"/>
          <w:sz w:val="21"/>
          <w:szCs w:val="21"/>
        </w:rPr>
      </w:pPr>
      <w:r w:rsidRPr="00BC5438">
        <w:rPr>
          <w:rFonts w:ascii="Arial" w:eastAsia="Times New Roman" w:hAnsi="Arial" w:cs="Arial"/>
          <w:b/>
          <w:snapToGrid w:val="0"/>
          <w:sz w:val="21"/>
          <w:szCs w:val="21"/>
        </w:rPr>
        <w:t>Subseção III</w:t>
      </w: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t>Da Autorização para Abertura de Créditos Suplementares</w:t>
      </w:r>
    </w:p>
    <w:p w:rsidR="000C44C8" w:rsidRPr="00BC5438" w:rsidRDefault="000C44C8" w:rsidP="000C44C8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7º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Ficam os Poderes Executivo e Legislativo autorizados a abrir, em seus orçamentos, créditos suplementares, para cada poder, compreendendo operações </w:t>
      </w:r>
      <w:proofErr w:type="spellStart"/>
      <w:r w:rsidRPr="00BC5438">
        <w:rPr>
          <w:rFonts w:ascii="Arial" w:eastAsia="Calibri" w:hAnsi="Arial" w:cs="Arial"/>
          <w:snapToGrid w:val="0"/>
          <w:sz w:val="21"/>
          <w:szCs w:val="21"/>
        </w:rPr>
        <w:t>intraorçamentárias</w:t>
      </w:r>
      <w:proofErr w:type="spellEnd"/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, com a finalidade de suprir insuficiências de dotações orçamentárias, na forma do estabelecido nos artigos </w:t>
      </w:r>
      <w:r w:rsidRPr="00D752DD">
        <w:rPr>
          <w:rFonts w:ascii="Arial" w:eastAsia="Calibri" w:hAnsi="Arial" w:cs="Arial"/>
          <w:snapToGrid w:val="0"/>
          <w:sz w:val="21"/>
          <w:szCs w:val="21"/>
        </w:rPr>
        <w:t>24 ao 29 da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Lei de Diretrizes Orçamentárias n° </w:t>
      </w:r>
      <w:r w:rsidRPr="00BC5438">
        <w:rPr>
          <w:rFonts w:ascii="Arial" w:eastAsia="Calibri" w:hAnsi="Arial" w:cs="Arial"/>
          <w:sz w:val="21"/>
          <w:szCs w:val="21"/>
        </w:rPr>
        <w:t>2.</w:t>
      </w:r>
      <w:r>
        <w:rPr>
          <w:rFonts w:ascii="Arial" w:eastAsia="Calibri" w:hAnsi="Arial" w:cs="Arial"/>
          <w:sz w:val="21"/>
          <w:szCs w:val="21"/>
        </w:rPr>
        <w:t>608</w:t>
      </w:r>
      <w:r w:rsidRPr="00BC5438">
        <w:rPr>
          <w:rFonts w:ascii="Arial" w:eastAsia="Calibri" w:hAnsi="Arial" w:cs="Arial"/>
          <w:sz w:val="21"/>
          <w:szCs w:val="21"/>
        </w:rPr>
        <w:t>/202</w:t>
      </w:r>
      <w:r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e nos termos da Lei Federal nº 4.320/1964, mediante a utilização de recursos provenientes de:</w:t>
      </w:r>
    </w:p>
    <w:p w:rsidR="000C44C8" w:rsidRPr="00BC5438" w:rsidRDefault="000C44C8" w:rsidP="000C44C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napToGrid w:val="0"/>
          <w:sz w:val="21"/>
          <w:szCs w:val="21"/>
        </w:rPr>
        <w:t>anulação</w:t>
      </w:r>
      <w:proofErr w:type="gramEnd"/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parcial ou total de dotações do respectivo Poder;</w:t>
      </w:r>
    </w:p>
    <w:p w:rsidR="000C44C8" w:rsidRPr="00BC5438" w:rsidRDefault="000C44C8" w:rsidP="000C44C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ab/>
        <w:t>II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napToGrid w:val="0"/>
          <w:sz w:val="21"/>
          <w:szCs w:val="21"/>
        </w:rPr>
        <w:t>incorporação</w:t>
      </w:r>
      <w:proofErr w:type="gramEnd"/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de superávit e/ou saldo financeiro disponível do exercício anterior, efetivamente apurados em balanço;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III -</w:t>
      </w:r>
      <w:r w:rsidRPr="00BC5438">
        <w:rPr>
          <w:rFonts w:ascii="Arial" w:eastAsia="Calibri" w:hAnsi="Arial" w:cs="Arial"/>
          <w:sz w:val="21"/>
          <w:szCs w:val="21"/>
        </w:rPr>
        <w:t xml:space="preserve"> excesso de arrecadação.</w:t>
      </w:r>
      <w:r w:rsidRPr="00BC5438">
        <w:rPr>
          <w:rFonts w:ascii="Arial" w:eastAsia="Calibri" w:hAnsi="Arial" w:cs="Arial"/>
          <w:sz w:val="21"/>
          <w:szCs w:val="21"/>
        </w:rPr>
        <w:tab/>
      </w: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Art. 8º</w:t>
      </w:r>
      <w:r w:rsidRPr="00BC5438">
        <w:rPr>
          <w:rFonts w:ascii="Arial" w:eastAsia="Calibri" w:hAnsi="Arial" w:cs="Arial"/>
          <w:sz w:val="21"/>
          <w:szCs w:val="21"/>
        </w:rPr>
        <w:t xml:space="preserve"> O limite autorizado no artigo anterior não será onerado quando o crédito suplementar se destinar a atender: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I -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z w:val="21"/>
          <w:szCs w:val="21"/>
        </w:rPr>
        <w:t>insuficiências</w:t>
      </w:r>
      <w:proofErr w:type="gramEnd"/>
      <w:r w:rsidRPr="00BC5438">
        <w:rPr>
          <w:rFonts w:ascii="Arial" w:eastAsia="Calibri" w:hAnsi="Arial" w:cs="Arial"/>
          <w:sz w:val="21"/>
          <w:szCs w:val="21"/>
        </w:rPr>
        <w:t xml:space="preserve"> de dotações do Grupo de Natureza da Despesa 1 - Pessoal e Encargos Sociais, mediante a utilização de recursos oriundos de anulação de despesas consignadas ao mesmo grupo;</w:t>
      </w: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 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II -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z w:val="21"/>
          <w:szCs w:val="21"/>
        </w:rPr>
        <w:t>pagamento</w:t>
      </w:r>
      <w:proofErr w:type="gramEnd"/>
      <w:r w:rsidRPr="00BC5438">
        <w:rPr>
          <w:rFonts w:ascii="Arial" w:eastAsia="Calibri" w:hAnsi="Arial" w:cs="Arial"/>
          <w:sz w:val="21"/>
          <w:szCs w:val="21"/>
        </w:rPr>
        <w:t xml:space="preserve"> de despesas decorrentes de precatórios judiciais, amortização, juros e encargos da dívida;</w:t>
      </w:r>
    </w:p>
    <w:p w:rsidR="000C44C8" w:rsidRPr="00BC5438" w:rsidRDefault="000C44C8" w:rsidP="000C44C8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1"/>
          <w:szCs w:val="21"/>
          <w:lang w:eastAsia="pt-BR"/>
        </w:rPr>
      </w:pPr>
      <w:r w:rsidRPr="00BC5438">
        <w:rPr>
          <w:rFonts w:ascii="Arial" w:eastAsia="Times New Roman" w:hAnsi="Arial" w:cs="Arial"/>
          <w:snapToGrid w:val="0"/>
          <w:sz w:val="21"/>
          <w:szCs w:val="21"/>
          <w:lang w:eastAsia="pt-BR"/>
        </w:rPr>
        <w:t xml:space="preserve"> </w:t>
      </w:r>
      <w:r w:rsidRPr="00BC5438">
        <w:rPr>
          <w:rFonts w:ascii="Arial" w:eastAsia="Times New Roman" w:hAnsi="Arial" w:cs="Arial"/>
          <w:b/>
          <w:snapToGrid w:val="0"/>
          <w:sz w:val="21"/>
          <w:szCs w:val="21"/>
          <w:lang w:eastAsia="pt-BR"/>
        </w:rPr>
        <w:tab/>
        <w:t>III -</w:t>
      </w:r>
      <w:r w:rsidRPr="00BC5438">
        <w:rPr>
          <w:rFonts w:ascii="Arial" w:eastAsia="Times New Roman" w:hAnsi="Arial" w:cs="Arial"/>
          <w:snapToGrid w:val="0"/>
          <w:sz w:val="21"/>
          <w:szCs w:val="21"/>
          <w:lang w:eastAsia="pt-BR"/>
        </w:rPr>
        <w:t xml:space="preserve"> despesas financiadas com recursos provenientes de operações de crédito, alienação de bens e transferências voluntárias da União e do Estado.</w:t>
      </w:r>
    </w:p>
    <w:p w:rsidR="000C44C8" w:rsidRPr="00BC5438" w:rsidRDefault="000C44C8" w:rsidP="000C44C8">
      <w:pPr>
        <w:keepNext/>
        <w:keepLines/>
        <w:spacing w:before="40" w:after="0" w:line="360" w:lineRule="auto"/>
        <w:jc w:val="center"/>
        <w:outlineLvl w:val="1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lastRenderedPageBreak/>
        <w:t>SEÇÃO III</w:t>
      </w:r>
    </w:p>
    <w:p w:rsidR="000C44C8" w:rsidRPr="00BC5438" w:rsidRDefault="000C44C8" w:rsidP="000C44C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t>DISPOSIÇÕES GERAIS E FINAIS</w:t>
      </w:r>
    </w:p>
    <w:p w:rsidR="000C44C8" w:rsidRPr="00BC5438" w:rsidRDefault="000C44C8" w:rsidP="000C44C8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9º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A utilização das dotações com origem de recursos provenientes de transferências voluntárias, operações de crédito e alienação de bens fica limitada aos efetivos recursos assegurados nos termos da </w:t>
      </w:r>
      <w:r w:rsidRPr="00BC5438">
        <w:rPr>
          <w:rFonts w:ascii="Arial" w:eastAsia="Calibri" w:hAnsi="Arial" w:cs="Arial"/>
          <w:sz w:val="21"/>
          <w:szCs w:val="21"/>
        </w:rPr>
        <w:t>Lei Municipal nº 2.</w:t>
      </w:r>
      <w:r>
        <w:rPr>
          <w:rFonts w:ascii="Arial" w:eastAsia="Calibri" w:hAnsi="Arial" w:cs="Arial"/>
          <w:sz w:val="21"/>
          <w:szCs w:val="21"/>
        </w:rPr>
        <w:t>608</w:t>
      </w:r>
      <w:r w:rsidRPr="00BC5438">
        <w:rPr>
          <w:rFonts w:ascii="Arial" w:eastAsia="Calibri" w:hAnsi="Arial" w:cs="Arial"/>
          <w:sz w:val="21"/>
          <w:szCs w:val="21"/>
        </w:rPr>
        <w:t>/202</w:t>
      </w:r>
      <w:r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>, que dispõe sobre as Diretrizes Orçamentárias para o Exercício Financeiro de 202</w:t>
      </w:r>
      <w:r>
        <w:rPr>
          <w:rFonts w:ascii="Arial" w:eastAsia="Calibri" w:hAnsi="Arial" w:cs="Arial"/>
          <w:sz w:val="21"/>
          <w:szCs w:val="21"/>
        </w:rPr>
        <w:t>3</w:t>
      </w:r>
      <w:r w:rsidRPr="00BC5438">
        <w:rPr>
          <w:rFonts w:ascii="Arial" w:eastAsia="Calibri" w:hAnsi="Arial" w:cs="Arial"/>
          <w:sz w:val="21"/>
          <w:szCs w:val="21"/>
        </w:rPr>
        <w:t>.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</w:p>
    <w:p w:rsidR="000C44C8" w:rsidRPr="00BC5438" w:rsidRDefault="000C44C8" w:rsidP="000C44C8">
      <w:pPr>
        <w:spacing w:after="120" w:line="360" w:lineRule="auto"/>
        <w:ind w:firstLine="708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Art.10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. Obedecidas as disposições da Lei de Diretrizes Orçamentárias, as transferências financeiras destinadas à Câmara Municipal serão disponibilizadas até o dia 20 de cada mês.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11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z w:val="21"/>
          <w:szCs w:val="21"/>
        </w:rPr>
        <w:t>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Art. 12</w:t>
      </w:r>
      <w:r w:rsidRPr="00BC5438">
        <w:rPr>
          <w:rFonts w:ascii="Arial" w:eastAsia="Calibri" w:hAnsi="Arial" w:cs="Arial"/>
          <w:sz w:val="21"/>
          <w:szCs w:val="21"/>
        </w:rPr>
        <w:t xml:space="preserve"> Ficam automaticamente atualizados, com base nos valores desta Lei, o montante das receitas, despesas, resultado primário e resultado nominal previstos nos demonstrativos referidos na Lei Municipal nº 2.</w:t>
      </w:r>
      <w:r>
        <w:rPr>
          <w:rFonts w:ascii="Arial" w:eastAsia="Calibri" w:hAnsi="Arial" w:cs="Arial"/>
          <w:sz w:val="21"/>
          <w:szCs w:val="21"/>
        </w:rPr>
        <w:t>608</w:t>
      </w:r>
      <w:r w:rsidRPr="00BC5438">
        <w:rPr>
          <w:rFonts w:ascii="Arial" w:eastAsia="Calibri" w:hAnsi="Arial" w:cs="Arial"/>
          <w:sz w:val="21"/>
          <w:szCs w:val="21"/>
        </w:rPr>
        <w:t>/202</w:t>
      </w:r>
      <w:r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>, que dispõe sobre as Diretrizes Orçamentárias para o Exercício Financeiro de 202</w:t>
      </w:r>
      <w:r>
        <w:rPr>
          <w:rFonts w:ascii="Arial" w:eastAsia="Calibri" w:hAnsi="Arial" w:cs="Arial"/>
          <w:sz w:val="21"/>
          <w:szCs w:val="21"/>
        </w:rPr>
        <w:t>3</w:t>
      </w:r>
      <w:r w:rsidRPr="00BC5438">
        <w:rPr>
          <w:rFonts w:ascii="Arial" w:eastAsia="Calibri" w:hAnsi="Arial" w:cs="Arial"/>
          <w:sz w:val="21"/>
          <w:szCs w:val="21"/>
        </w:rPr>
        <w:t>.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Parágrafo único.</w:t>
      </w:r>
      <w:r w:rsidRPr="00BC5438">
        <w:rPr>
          <w:rFonts w:ascii="Arial" w:eastAsia="Calibri" w:hAnsi="Arial" w:cs="Arial"/>
          <w:sz w:val="21"/>
          <w:szCs w:val="21"/>
        </w:rPr>
        <w:t xml:space="preserve"> Para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efeitos de avaliação do cumprimento das metas fiscais na audiência pública prevista no art. 9</w:t>
      </w:r>
      <w:r w:rsidRPr="00BC5438">
        <w:rPr>
          <w:rFonts w:ascii="Arial" w:eastAsia="Calibri" w:hAnsi="Arial" w:cs="Arial"/>
          <w:sz w:val="21"/>
          <w:szCs w:val="21"/>
          <w:u w:val="single"/>
          <w:vertAlign w:val="superscript"/>
        </w:rPr>
        <w:t>o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, § 4</w:t>
      </w:r>
      <w:r w:rsidRPr="00BC5438">
        <w:rPr>
          <w:rFonts w:ascii="Arial" w:eastAsia="Calibri" w:hAnsi="Arial" w:cs="Arial"/>
          <w:sz w:val="21"/>
          <w:szCs w:val="21"/>
          <w:u w:val="single"/>
          <w:vertAlign w:val="superscript"/>
        </w:rPr>
        <w:t>o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, da LC nº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101/2000, as receitas e despesas realizadas, bem como o resultado primário e nominal, apurados pela metodologia acima da linha, serão comparados com as metas ajustadas nos termos do caput deste artigo.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Art. 13</w:t>
      </w:r>
      <w:r w:rsidRPr="00BC5438">
        <w:rPr>
          <w:rFonts w:ascii="Arial" w:eastAsia="Calibri" w:hAnsi="Arial" w:cs="Arial"/>
          <w:sz w:val="21"/>
          <w:szCs w:val="21"/>
        </w:rPr>
        <w:t xml:space="preserve"> O poder executivo poderá efetuar alterações nos códigos e descrições das funções, </w:t>
      </w:r>
      <w:proofErr w:type="spellStart"/>
      <w:r w:rsidRPr="00BC5438">
        <w:rPr>
          <w:rFonts w:ascii="Arial" w:eastAsia="Calibri" w:hAnsi="Arial" w:cs="Arial"/>
          <w:sz w:val="21"/>
          <w:szCs w:val="21"/>
        </w:rPr>
        <w:t>subfunções</w:t>
      </w:r>
      <w:proofErr w:type="spellEnd"/>
      <w:r w:rsidRPr="00BC5438">
        <w:rPr>
          <w:rFonts w:ascii="Arial" w:eastAsia="Calibri" w:hAnsi="Arial" w:cs="Arial"/>
          <w:sz w:val="21"/>
          <w:szCs w:val="21"/>
        </w:rPr>
        <w:t>, naturezas de receitas e despesas orçamentárias e fontes de recursos, visando adequá-los às alterações que venham a ser definidas pela Secretaria do Tesouro Nacional (STN) ou pelo Tribunal de Contas do Estado (TCE-RS).</w:t>
      </w:r>
    </w:p>
    <w:p w:rsidR="000C44C8" w:rsidRPr="00BC5438" w:rsidRDefault="000C44C8" w:rsidP="000C44C8">
      <w:pPr>
        <w:tabs>
          <w:tab w:val="left" w:pos="-1418"/>
        </w:tabs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ab/>
        <w:t xml:space="preserve">Art. 14 </w:t>
      </w:r>
      <w:r w:rsidRPr="00BC5438">
        <w:rPr>
          <w:rFonts w:ascii="Arial" w:eastAsia="Calibri" w:hAnsi="Arial" w:cs="Arial"/>
          <w:sz w:val="21"/>
          <w:szCs w:val="21"/>
        </w:rPr>
        <w:t>Esta Lei entra em vigor na data de sua publicação.</w:t>
      </w:r>
    </w:p>
    <w:p w:rsidR="000C44C8" w:rsidRPr="00BC5438" w:rsidRDefault="000C44C8" w:rsidP="000C44C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>Gabinete do Prefeito Munic</w:t>
      </w:r>
      <w:bookmarkStart w:id="0" w:name="_GoBack"/>
      <w:bookmarkEnd w:id="0"/>
      <w:r w:rsidRPr="00BC5438">
        <w:rPr>
          <w:rFonts w:ascii="Arial" w:eastAsia="Calibri" w:hAnsi="Arial" w:cs="Arial"/>
          <w:sz w:val="21"/>
          <w:szCs w:val="21"/>
        </w:rPr>
        <w:t xml:space="preserve">ipal de Anta Gorda RS, aos </w:t>
      </w:r>
      <w:r>
        <w:rPr>
          <w:rFonts w:ascii="Arial" w:eastAsia="Calibri" w:hAnsi="Arial" w:cs="Arial"/>
          <w:sz w:val="21"/>
          <w:szCs w:val="21"/>
        </w:rPr>
        <w:t>19</w:t>
      </w:r>
      <w:r w:rsidRPr="00BC5438">
        <w:rPr>
          <w:rFonts w:ascii="Arial" w:eastAsia="Calibri" w:hAnsi="Arial" w:cs="Arial"/>
          <w:sz w:val="21"/>
          <w:szCs w:val="21"/>
        </w:rPr>
        <w:t xml:space="preserve"> dias do mês de </w:t>
      </w:r>
      <w:r>
        <w:rPr>
          <w:rFonts w:ascii="Arial" w:eastAsia="Calibri" w:hAnsi="Arial" w:cs="Arial"/>
          <w:sz w:val="21"/>
          <w:szCs w:val="21"/>
        </w:rPr>
        <w:t>dezembro</w:t>
      </w:r>
      <w:r w:rsidRPr="00BC5438">
        <w:rPr>
          <w:rFonts w:ascii="Arial" w:eastAsia="Calibri" w:hAnsi="Arial" w:cs="Arial"/>
          <w:sz w:val="21"/>
          <w:szCs w:val="21"/>
        </w:rPr>
        <w:t xml:space="preserve"> de 202</w:t>
      </w:r>
      <w:r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>.</w:t>
      </w:r>
    </w:p>
    <w:p w:rsidR="000C44C8" w:rsidRPr="00BC5438" w:rsidRDefault="000C44C8" w:rsidP="000C44C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C44C8" w:rsidRPr="00BC5438" w:rsidRDefault="000C44C8" w:rsidP="000C44C8">
      <w:pPr>
        <w:keepNext/>
        <w:keepLines/>
        <w:spacing w:before="40" w:after="0" w:line="360" w:lineRule="auto"/>
        <w:jc w:val="center"/>
        <w:outlineLvl w:val="1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sz w:val="21"/>
          <w:szCs w:val="21"/>
        </w:rPr>
        <w:t xml:space="preserve">Francisco David </w:t>
      </w:r>
      <w:proofErr w:type="spellStart"/>
      <w:r w:rsidRPr="00BC5438">
        <w:rPr>
          <w:rFonts w:ascii="Arial" w:eastAsia="Times New Roman" w:hAnsi="Arial" w:cs="Arial"/>
          <w:sz w:val="21"/>
          <w:szCs w:val="21"/>
        </w:rPr>
        <w:t>Frigheto</w:t>
      </w:r>
      <w:proofErr w:type="spellEnd"/>
    </w:p>
    <w:p w:rsidR="000C44C8" w:rsidRPr="00BC5438" w:rsidRDefault="000C44C8" w:rsidP="000C44C8">
      <w:pPr>
        <w:spacing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BC5438">
        <w:rPr>
          <w:rFonts w:ascii="Arial" w:eastAsia="Calibri" w:hAnsi="Arial" w:cs="Arial"/>
          <w:b/>
          <w:bCs/>
          <w:sz w:val="21"/>
          <w:szCs w:val="21"/>
        </w:rPr>
        <w:t>Prefeito Municipal</w:t>
      </w:r>
    </w:p>
    <w:p w:rsidR="000C44C8" w:rsidRPr="002675FC" w:rsidRDefault="000C44C8" w:rsidP="000C44C8">
      <w:pPr>
        <w:spacing w:after="24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2675FC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0C44C8" w:rsidRPr="002675FC" w:rsidRDefault="000C44C8" w:rsidP="000C44C8">
      <w:pPr>
        <w:spacing w:after="8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2675FC">
        <w:rPr>
          <w:rFonts w:ascii="Arial" w:eastAsia="Times New Roman" w:hAnsi="Arial" w:cs="Arial"/>
          <w:sz w:val="21"/>
          <w:szCs w:val="21"/>
          <w:lang w:eastAsia="ar-SA"/>
        </w:rPr>
        <w:t>Suami Schenatto</w:t>
      </w:r>
    </w:p>
    <w:p w:rsidR="00D17A8B" w:rsidRPr="000C44C8" w:rsidRDefault="000C44C8" w:rsidP="000C44C8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2675FC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sectPr w:rsidR="00D17A8B" w:rsidRPr="000C4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C8"/>
    <w:rsid w:val="000C44C8"/>
    <w:rsid w:val="00D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DFB"/>
  <w15:chartTrackingRefBased/>
  <w15:docId w15:val="{21887390-282E-4A8D-8222-E1F782B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2022-12-19T11:23:00Z</dcterms:created>
  <dcterms:modified xsi:type="dcterms:W3CDTF">2022-12-19T11:25:00Z</dcterms:modified>
</cp:coreProperties>
</file>