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DA56A" w14:textId="1177F594" w:rsidR="00E362E6" w:rsidRPr="00416465" w:rsidRDefault="00BB7D31" w:rsidP="00BA2F3F">
      <w:pPr>
        <w:spacing w:after="240" w:line="360" w:lineRule="auto"/>
        <w:jc w:val="center"/>
        <w:rPr>
          <w:rFonts w:ascii="Calibri Light" w:hAnsi="Calibri Light" w:cs="Calibri Light"/>
          <w:b/>
          <w:bCs/>
          <w:sz w:val="24"/>
          <w:szCs w:val="20"/>
        </w:rPr>
      </w:pPr>
      <w:r w:rsidRPr="00416465">
        <w:rPr>
          <w:rFonts w:ascii="Calibri Light" w:hAnsi="Calibri Light" w:cs="Calibri Light"/>
          <w:b/>
          <w:bCs/>
          <w:sz w:val="24"/>
          <w:szCs w:val="20"/>
        </w:rPr>
        <w:t xml:space="preserve">RESOLUÇÃO DE MESA Nº </w:t>
      </w:r>
      <w:r w:rsidR="006105E3" w:rsidRPr="00416465">
        <w:rPr>
          <w:rFonts w:ascii="Calibri Light" w:hAnsi="Calibri Light" w:cs="Calibri Light"/>
          <w:b/>
          <w:bCs/>
          <w:sz w:val="24"/>
          <w:szCs w:val="20"/>
        </w:rPr>
        <w:t>01</w:t>
      </w:r>
      <w:r w:rsidR="009D706E" w:rsidRPr="00416465">
        <w:rPr>
          <w:rFonts w:ascii="Calibri Light" w:hAnsi="Calibri Light" w:cs="Calibri Light"/>
          <w:b/>
          <w:bCs/>
          <w:sz w:val="24"/>
          <w:szCs w:val="20"/>
        </w:rPr>
        <w:t>9</w:t>
      </w:r>
      <w:r w:rsidRPr="00416465">
        <w:rPr>
          <w:rFonts w:ascii="Calibri Light" w:hAnsi="Calibri Light" w:cs="Calibri Light"/>
          <w:b/>
          <w:bCs/>
          <w:sz w:val="24"/>
          <w:szCs w:val="20"/>
        </w:rPr>
        <w:t xml:space="preserve">, DE </w:t>
      </w:r>
      <w:r w:rsidR="006105E3" w:rsidRPr="00416465">
        <w:rPr>
          <w:rFonts w:ascii="Calibri Light" w:hAnsi="Calibri Light" w:cs="Calibri Light"/>
          <w:b/>
          <w:bCs/>
          <w:sz w:val="24"/>
          <w:szCs w:val="20"/>
        </w:rPr>
        <w:t xml:space="preserve">10 </w:t>
      </w:r>
      <w:r w:rsidRPr="00416465">
        <w:rPr>
          <w:rFonts w:ascii="Calibri Light" w:hAnsi="Calibri Light" w:cs="Calibri Light"/>
          <w:b/>
          <w:bCs/>
          <w:sz w:val="24"/>
          <w:szCs w:val="20"/>
        </w:rPr>
        <w:t xml:space="preserve">DE </w:t>
      </w:r>
      <w:r w:rsidR="006105E3" w:rsidRPr="00416465">
        <w:rPr>
          <w:rFonts w:ascii="Calibri Light" w:hAnsi="Calibri Light" w:cs="Calibri Light"/>
          <w:b/>
          <w:bCs/>
          <w:sz w:val="24"/>
          <w:szCs w:val="20"/>
        </w:rPr>
        <w:t>JULHO</w:t>
      </w:r>
      <w:r w:rsidRPr="00416465">
        <w:rPr>
          <w:rFonts w:ascii="Calibri Light" w:hAnsi="Calibri Light" w:cs="Calibri Light"/>
          <w:b/>
          <w:bCs/>
          <w:sz w:val="24"/>
          <w:szCs w:val="20"/>
        </w:rPr>
        <w:t xml:space="preserve"> DE 2026</w:t>
      </w:r>
    </w:p>
    <w:p w14:paraId="74437F7A" w14:textId="77777777" w:rsidR="00C97573" w:rsidRPr="00BA2F3F" w:rsidRDefault="00C97573" w:rsidP="00BA2F3F">
      <w:pPr>
        <w:spacing w:after="240" w:line="360" w:lineRule="auto"/>
        <w:rPr>
          <w:rFonts w:ascii="Calibri Light" w:hAnsi="Calibri Light" w:cs="Calibri Light"/>
          <w:sz w:val="20"/>
          <w:szCs w:val="20"/>
        </w:rPr>
      </w:pPr>
    </w:p>
    <w:p w14:paraId="594FB690" w14:textId="119AA1F2" w:rsidR="00E362E6" w:rsidRPr="00BA2F3F" w:rsidRDefault="00BB7D31" w:rsidP="00BA2F3F">
      <w:pPr>
        <w:spacing w:after="240" w:line="360" w:lineRule="auto"/>
        <w:ind w:left="3600"/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BA2F3F">
        <w:rPr>
          <w:rFonts w:ascii="Calibri Light" w:hAnsi="Calibri Light" w:cs="Calibri Light"/>
          <w:sz w:val="20"/>
          <w:szCs w:val="20"/>
        </w:rPr>
        <w:t>Dispõe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sobre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condutas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vedadas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diretrizes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comunicação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institucional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regras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cautela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observadas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pelos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agentes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públicos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Poder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Legislativo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Município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Anta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Gorda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durante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período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2026.</w:t>
      </w:r>
    </w:p>
    <w:p w14:paraId="0C27B22C" w14:textId="77777777" w:rsidR="00917B7A" w:rsidRPr="00BA2F3F" w:rsidRDefault="00917B7A" w:rsidP="00BA2F3F">
      <w:pPr>
        <w:spacing w:after="24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2FC01D5" w14:textId="5DF9FA7D" w:rsidR="00C60BB3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>A MESA DA CÂMARA MUNICIPAL DE ANTA GORDA</w:t>
      </w:r>
      <w:r w:rsidRPr="00BA2F3F">
        <w:rPr>
          <w:rFonts w:ascii="Calibri Light" w:hAnsi="Calibri Light" w:cs="Calibri Light"/>
          <w:sz w:val="20"/>
          <w:szCs w:val="20"/>
        </w:rPr>
        <w:t xml:space="preserve">, no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uso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suas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atribuições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regimentais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especialmente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considerando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competência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para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organizar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dirigir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seus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serviços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internos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r w:rsidR="00C60BB3" w:rsidRPr="00BA2F3F">
        <w:rPr>
          <w:rFonts w:ascii="Calibri Light" w:hAnsi="Calibri Light" w:cs="Calibri Light"/>
          <w:sz w:val="20"/>
          <w:szCs w:val="20"/>
        </w:rPr>
        <w:t>e</w:t>
      </w:r>
    </w:p>
    <w:p w14:paraId="569A3D4E" w14:textId="77777777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 xml:space="preserve">CONSIDERANDO </w:t>
      </w:r>
      <w:r w:rsidRPr="00BA2F3F">
        <w:rPr>
          <w:rFonts w:ascii="Calibri Light" w:hAnsi="Calibri Light" w:cs="Calibri Light"/>
          <w:sz w:val="20"/>
          <w:szCs w:val="20"/>
        </w:rPr>
        <w:t xml:space="preserve">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proximidade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Eleições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2026;</w:t>
      </w:r>
    </w:p>
    <w:p w14:paraId="762EAF47" w14:textId="77777777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>CONSIDERANDO</w:t>
      </w:r>
      <w:r w:rsidRPr="00BA2F3F">
        <w:rPr>
          <w:rFonts w:ascii="Calibri Light" w:hAnsi="Calibri Light" w:cs="Calibri Light"/>
          <w:sz w:val="20"/>
          <w:szCs w:val="20"/>
        </w:rPr>
        <w:t xml:space="preserve">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necessidade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resguardar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legalidade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impessoalidade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moralidade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administrativa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igualdade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oportunidades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entre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candidatos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legitimidade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processo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;</w:t>
      </w:r>
    </w:p>
    <w:p w14:paraId="78071DBE" w14:textId="77777777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 xml:space="preserve">CONSIDERANDO </w:t>
      </w:r>
      <w:r w:rsidRPr="00BA2F3F">
        <w:rPr>
          <w:rFonts w:ascii="Calibri Light" w:hAnsi="Calibri Light" w:cs="Calibri Light"/>
          <w:sz w:val="20"/>
          <w:szCs w:val="20"/>
        </w:rPr>
        <w:t xml:space="preserve">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incidência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condutas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vedadas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agentes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públicos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inclusive no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âmbito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Poder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Legislativo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Municipal;</w:t>
      </w:r>
    </w:p>
    <w:p w14:paraId="440CF20B" w14:textId="39BABA10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>CONSIDERANDO</w:t>
      </w:r>
      <w:r w:rsidRPr="00BA2F3F">
        <w:rPr>
          <w:rFonts w:ascii="Calibri Light" w:hAnsi="Calibri Light" w:cs="Calibri Light"/>
          <w:sz w:val="20"/>
          <w:szCs w:val="20"/>
        </w:rPr>
        <w:t xml:space="preserve">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necessidade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orientar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Vereadores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servidores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assessores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demais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colaboradores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quanto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uso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estrutura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institucional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comunicação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oficial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das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transmissões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sessões</w:t>
      </w:r>
      <w:proofErr w:type="spellEnd"/>
      <w:r w:rsidR="002016B3" w:rsidRPr="00BA2F3F">
        <w:rPr>
          <w:rFonts w:ascii="Calibri Light" w:hAnsi="Calibri Light" w:cs="Calibri Light"/>
          <w:sz w:val="20"/>
          <w:szCs w:val="20"/>
        </w:rPr>
        <w:t>;</w:t>
      </w:r>
    </w:p>
    <w:p w14:paraId="3FAE58C0" w14:textId="7B7389E4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>RESOLVE:</w:t>
      </w:r>
    </w:p>
    <w:p w14:paraId="07DC54D4" w14:textId="68BF9818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>Art. 1º</w:t>
      </w:r>
      <w:r w:rsidR="006105E3" w:rsidRPr="00BA2F3F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Resolução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estabelece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no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âmbito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 de Anta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Gorda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diretrizes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vedações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medidas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cautela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observadas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pelos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agentes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públicos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Poder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Legislativo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durante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período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2026.</w:t>
      </w:r>
    </w:p>
    <w:p w14:paraId="18CE0048" w14:textId="446C2026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lastRenderedPageBreak/>
        <w:t>Art. 2º</w:t>
      </w:r>
      <w:r w:rsidR="006105E3" w:rsidRPr="00BA2F3F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Pr="00BA2F3F">
        <w:rPr>
          <w:rFonts w:ascii="Calibri Light" w:hAnsi="Calibri Light" w:cs="Calibri Light"/>
          <w:sz w:val="20"/>
          <w:szCs w:val="20"/>
        </w:rPr>
        <w:t xml:space="preserve">Para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fins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desta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Resolução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considera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-se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agente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público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todo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aquele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que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exerça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ainda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que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transitoriamente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remuneração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nomeação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designação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contratação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qualquer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outra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forma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investidura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vínculo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mandato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cargo,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emprego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função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no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âmbito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 de Anta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Gorda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compreendidos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Vereadores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servidores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efetivos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comissionados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contratados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estagiários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assessores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colaboradores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.</w:t>
      </w:r>
    </w:p>
    <w:p w14:paraId="7F8C1AED" w14:textId="5E8F8426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>Art. 3º</w:t>
      </w:r>
      <w:r w:rsidR="006105E3" w:rsidRPr="00BA2F3F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Fica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vedado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agentes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públicos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Poder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Legislativo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Municipal:</w:t>
      </w:r>
    </w:p>
    <w:p w14:paraId="3CF1E37E" w14:textId="2D887C8A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sz w:val="20"/>
          <w:szCs w:val="20"/>
        </w:rPr>
        <w:t xml:space="preserve">I </w:t>
      </w:r>
      <w:r w:rsidR="00C60BB3" w:rsidRPr="00BA2F3F">
        <w:rPr>
          <w:rFonts w:ascii="Calibri Light" w:hAnsi="Calibri Light" w:cs="Calibri Light"/>
          <w:sz w:val="20"/>
          <w:szCs w:val="20"/>
        </w:rPr>
        <w:t xml:space="preserve">–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ceder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permitir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uso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bens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móveis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imóveis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equipamentos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veículos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materiais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sistemas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meios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comunicação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redes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institucionais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quaisquer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recursos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benefício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candidato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partido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político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federação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coligação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ressalvadas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hipóteses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legalmente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admitidas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;</w:t>
      </w:r>
    </w:p>
    <w:p w14:paraId="26B13A1B" w14:textId="17628D3F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sz w:val="20"/>
          <w:szCs w:val="20"/>
        </w:rPr>
        <w:t xml:space="preserve">II </w:t>
      </w:r>
      <w:r w:rsidR="00C60BB3" w:rsidRPr="00BA2F3F">
        <w:rPr>
          <w:rFonts w:ascii="Calibri Light" w:hAnsi="Calibri Light" w:cs="Calibri Light"/>
          <w:sz w:val="20"/>
          <w:szCs w:val="20"/>
        </w:rPr>
        <w:t xml:space="preserve">–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utilizar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materiais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serviços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custeados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pela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além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prerrogativas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regulares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estritamente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vinculadas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exercício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atribuições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institucionais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;</w:t>
      </w:r>
    </w:p>
    <w:p w14:paraId="780EF5C5" w14:textId="3D5A0C2D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sz w:val="20"/>
          <w:szCs w:val="20"/>
        </w:rPr>
        <w:t xml:space="preserve">III </w:t>
      </w:r>
      <w:r w:rsidR="00C60BB3" w:rsidRPr="00BA2F3F">
        <w:rPr>
          <w:rFonts w:ascii="Calibri Light" w:hAnsi="Calibri Light" w:cs="Calibri Light"/>
          <w:sz w:val="20"/>
          <w:szCs w:val="20"/>
        </w:rPr>
        <w:t xml:space="preserve">–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ceder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servidor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assessor,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estagiário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colaborador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utilizar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seus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serviços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atividades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campanha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durante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horário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expediente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salvo se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estiver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regularmente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afastado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licenciado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na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forma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cabível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;</w:t>
      </w:r>
    </w:p>
    <w:p w14:paraId="70F79035" w14:textId="271FCC84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sz w:val="20"/>
          <w:szCs w:val="20"/>
        </w:rPr>
        <w:t xml:space="preserve">IV </w:t>
      </w:r>
      <w:r w:rsidR="00C60BB3" w:rsidRPr="00BA2F3F">
        <w:rPr>
          <w:rFonts w:ascii="Calibri Light" w:hAnsi="Calibri Light" w:cs="Calibri Light"/>
          <w:sz w:val="20"/>
          <w:szCs w:val="20"/>
        </w:rPr>
        <w:t xml:space="preserve">–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fazer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permitir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uso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promocional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estrutura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institucional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publicidade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oficial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dos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atos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legislativos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das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sessões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solenidades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eventos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canais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oficiais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sítio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eletrônico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redes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sociais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favor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candidato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partido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político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federação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coligação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;</w:t>
      </w:r>
    </w:p>
    <w:p w14:paraId="64643504" w14:textId="2097A05D" w:rsidR="00E362E6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sz w:val="20"/>
          <w:szCs w:val="20"/>
        </w:rPr>
        <w:t>V</w:t>
      </w:r>
      <w:r w:rsidR="00C60BB3" w:rsidRPr="00BA2F3F">
        <w:rPr>
          <w:rFonts w:ascii="Calibri Light" w:hAnsi="Calibri Light" w:cs="Calibri Light"/>
          <w:sz w:val="20"/>
          <w:szCs w:val="20"/>
        </w:rPr>
        <w:t xml:space="preserve"> –</w:t>
      </w:r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praticar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meio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comunicação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institucional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que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caracterize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promoção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pessoal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agente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público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favorecimento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inclusive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mediante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textos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imagens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vídeos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cortes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chamadas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legendas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artes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impulsionamentos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publicações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com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conteúdo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natureza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.</w:t>
      </w:r>
    </w:p>
    <w:p w14:paraId="44A8AFCF" w14:textId="77777777" w:rsidR="00BA2F3F" w:rsidRPr="00BA2F3F" w:rsidRDefault="00BB7D31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hAnsi="Calibri Light" w:cs="Calibri Light"/>
          <w:b/>
          <w:bCs/>
          <w:sz w:val="20"/>
          <w:szCs w:val="20"/>
        </w:rPr>
        <w:t>Art. 4º</w:t>
      </w:r>
      <w:r w:rsidR="00C60BB3" w:rsidRPr="00BA2F3F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Pr="00BA2F3F">
        <w:rPr>
          <w:rFonts w:ascii="Calibri Light" w:hAnsi="Calibri Light" w:cs="Calibri Light"/>
          <w:sz w:val="20"/>
          <w:szCs w:val="20"/>
        </w:rPr>
        <w:t xml:space="preserve">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comunicação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institucional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deverá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observar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todo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o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período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caráter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exclusivamente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informativo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educativo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orientação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social,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vedada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inserção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nomes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símbolos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imagens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expressões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slogans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elementos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que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possam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caracterizar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promoção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pessoal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propaganda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>.</w:t>
      </w:r>
    </w:p>
    <w:p w14:paraId="20D087C1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lastRenderedPageBreak/>
        <w:t>Art. 5º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> </w:t>
      </w:r>
      <w:proofErr w:type="gramStart"/>
      <w:r w:rsidRPr="00BA2F3F">
        <w:rPr>
          <w:rFonts w:ascii="Calibri Light" w:hAnsi="Calibri Light" w:cs="Calibri Light"/>
          <w:color w:val="333333"/>
          <w:sz w:val="20"/>
          <w:szCs w:val="20"/>
        </w:rPr>
        <w:t>As</w:t>
      </w:r>
      <w:proofErr w:type="gram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transmissões ao vivo das sessões plenárias, reuniões de comissões, audiências públicas e demais atos institucionais da Câmara poderão ser mantidas, observados os princípios da impessoalidade, da publicidade e da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neutralidade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institucional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626C9588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§ 1º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> 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Nas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sessões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plenárias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, a transmissão ao vivo será mantida até o encerramento da Ordem do Dia, devendo ser finalizada antes do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início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do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Expediente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Político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1DEE5949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§ 2º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Durante 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período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eleitoral de 2026, fica suspensa, nos canais oficiais da Câmara Municipal, a transmissão ao vivo do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Expediente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Político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7FE3662B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§ 3º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medida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prevista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no § 2º tem caráter temporário, geral e impessoal, aplicando-se indistintamente 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todos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os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parlamentares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57DEF2D9" w14:textId="550D7236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§ 4º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suspensão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da transmissão não prejudica o caráter público das sessões, o acesso presencial do público e da imprensa, o registro em ata nem a divulgação institucional dos atos legislativos essenciais.</w:t>
      </w:r>
    </w:p>
    <w:p w14:paraId="2A2419C1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 xml:space="preserve"> </w:t>
      </w: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Art. 6º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Fica vedada a produção, a extração, o recorte, 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edição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, 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republicação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ou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impulsionamento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nos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canais oficiais da Câmara, de trechos de falas, imagens ou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conteúdos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oriundos do Expediente Político ou de eventos institucionais com finalidade de promoção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ainda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que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indireta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6A573420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proofErr w:type="spellStart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Parágrafo</w:t>
      </w:r>
      <w:proofErr w:type="spellEnd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único</w:t>
      </w:r>
      <w:proofErr w:type="spellEnd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.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A divulgação posterior de conteúdo institucional deverá preservar a isonomia entre os parlamentares, a finalidade pública e 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caráter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estritamente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informativo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040D59B7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Art. 7º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Os agentes públicos da Câmara deverão observar especial cautela no uso de ferramentas digitais, sistemas automatizados, inteligência artificial, conteúdo sintético, manipulação de imagem, voz ou vídeo e demais recursos tecnológicos, abstendo-se de produzir, compartilhar ou veicular, em ambiente institucional, material que possa induzir o eleitor a erro, desinformar ou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configurar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propaganda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irregular.</w:t>
      </w:r>
    </w:p>
    <w:p w14:paraId="25DDDE26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Art. 8º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A Secretaria da Câmara, ou setor equivalente designado pela Presidência, atuará como ponto de controle administrativo para orientação interna sobre comunicações institucionais, arquivamento de evidências e registro das decisões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adotadas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no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período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eleitoral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4EAC7EE6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proofErr w:type="spellStart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lastRenderedPageBreak/>
        <w:t>Parágrafo</w:t>
      </w:r>
      <w:proofErr w:type="spellEnd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único</w:t>
      </w:r>
      <w:proofErr w:type="spellEnd"/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.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> 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Sempre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que necessário, poderão ser formalizados registros internos contendo justificativas, capturas de tela, links, ordens de serviço, roteiros de publicação, solicitações e demais elementos de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comprovação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das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medidas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adotadas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29A1778C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Art. 9º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Os Vereadores e demais agentes públicos da Câmara permanecem responsáveis pela observância da legislação eleitoral, administrativa e regimental, respondendo pessoalmente por atos praticados com desvio de finalidade ou utilização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indevida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da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estrutura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pública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21439B3E" w14:textId="77777777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Art. 10.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 O descumprimento desta Resolução sujeitará o responsável à apuração administrativa cabível, sem prejuízo das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demais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responsabilizações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legalmente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 xml:space="preserve"> </w:t>
      </w:r>
      <w:proofErr w:type="spellStart"/>
      <w:r w:rsidRPr="00BA2F3F">
        <w:rPr>
          <w:rFonts w:ascii="Calibri Light" w:hAnsi="Calibri Light" w:cs="Calibri Light"/>
          <w:color w:val="333333"/>
          <w:sz w:val="20"/>
          <w:szCs w:val="20"/>
        </w:rPr>
        <w:t>previstas</w:t>
      </w:r>
      <w:proofErr w:type="spellEnd"/>
      <w:r w:rsidRPr="00BA2F3F">
        <w:rPr>
          <w:rFonts w:ascii="Calibri Light" w:hAnsi="Calibri Light" w:cs="Calibri Light"/>
          <w:color w:val="333333"/>
          <w:sz w:val="20"/>
          <w:szCs w:val="20"/>
        </w:rPr>
        <w:t>.</w:t>
      </w:r>
    </w:p>
    <w:p w14:paraId="0937C354" w14:textId="27B68CC8" w:rsidR="00BA2F3F" w:rsidRPr="00BA2F3F" w:rsidRDefault="00BA2F3F" w:rsidP="00BA2F3F">
      <w:pPr>
        <w:spacing w:after="240" w:line="360" w:lineRule="auto"/>
        <w:ind w:firstLine="1134"/>
        <w:jc w:val="both"/>
        <w:rPr>
          <w:rFonts w:ascii="Calibri Light" w:hAnsi="Calibri Light" w:cs="Calibri Light"/>
          <w:color w:val="333333"/>
          <w:sz w:val="20"/>
          <w:szCs w:val="20"/>
        </w:rPr>
      </w:pPr>
      <w:r w:rsidRPr="00BA2F3F">
        <w:rPr>
          <w:rStyle w:val="Forte"/>
          <w:rFonts w:ascii="Calibri Light" w:hAnsi="Calibri Light" w:cs="Calibri Light"/>
          <w:color w:val="333333"/>
          <w:sz w:val="20"/>
          <w:szCs w:val="20"/>
        </w:rPr>
        <w:t>Art. 11.</w:t>
      </w:r>
      <w:r w:rsidRPr="00BA2F3F">
        <w:rPr>
          <w:rFonts w:ascii="Calibri Light" w:hAnsi="Calibri Light" w:cs="Calibri Light"/>
          <w:color w:val="333333"/>
          <w:sz w:val="20"/>
          <w:szCs w:val="20"/>
        </w:rPr>
        <w:t> Esta Resolução de Mesa entra em vigor na data de sua publicação.</w:t>
      </w:r>
    </w:p>
    <w:p w14:paraId="2E7C822B" w14:textId="4F68163C" w:rsidR="00E362E6" w:rsidRPr="00BA2F3F" w:rsidRDefault="00BB7D31" w:rsidP="00BA2F3F">
      <w:pPr>
        <w:spacing w:after="240" w:line="360" w:lineRule="auto"/>
        <w:ind w:left="2160"/>
        <w:jc w:val="right"/>
        <w:rPr>
          <w:rFonts w:ascii="Calibri Light" w:hAnsi="Calibri Light" w:cs="Calibri Light"/>
          <w:sz w:val="20"/>
          <w:szCs w:val="20"/>
        </w:rPr>
      </w:pPr>
      <w:proofErr w:type="spellStart"/>
      <w:r w:rsidRPr="00BA2F3F">
        <w:rPr>
          <w:rFonts w:ascii="Calibri Light" w:hAnsi="Calibri Light" w:cs="Calibri Light"/>
          <w:sz w:val="20"/>
          <w:szCs w:val="20"/>
        </w:rPr>
        <w:t>Câmara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Municipal de Anta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Gorda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BA2F3F">
        <w:rPr>
          <w:rFonts w:ascii="Calibri Light" w:hAnsi="Calibri Light" w:cs="Calibri Light"/>
          <w:sz w:val="20"/>
          <w:szCs w:val="20"/>
        </w:rPr>
        <w:t>em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</w:t>
      </w:r>
      <w:r w:rsidR="009226C4" w:rsidRPr="00BA2F3F">
        <w:rPr>
          <w:rFonts w:ascii="Calibri Light" w:hAnsi="Calibri Light" w:cs="Calibri Light"/>
          <w:sz w:val="20"/>
          <w:szCs w:val="20"/>
        </w:rPr>
        <w:t>10</w:t>
      </w:r>
      <w:r w:rsidRPr="00BA2F3F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="00C60BB3" w:rsidRPr="00BA2F3F">
        <w:rPr>
          <w:rFonts w:ascii="Calibri Light" w:hAnsi="Calibri Light" w:cs="Calibri Light"/>
          <w:sz w:val="20"/>
          <w:szCs w:val="20"/>
        </w:rPr>
        <w:t>julho</w:t>
      </w:r>
      <w:proofErr w:type="spellEnd"/>
      <w:r w:rsidRPr="00BA2F3F">
        <w:rPr>
          <w:rFonts w:ascii="Calibri Light" w:hAnsi="Calibri Light" w:cs="Calibri Light"/>
          <w:sz w:val="20"/>
          <w:szCs w:val="20"/>
        </w:rPr>
        <w:t xml:space="preserve"> de 2026.</w:t>
      </w:r>
    </w:p>
    <w:p w14:paraId="4584710C" w14:textId="04F1AC4F" w:rsidR="00C97573" w:rsidRPr="00BA2F3F" w:rsidRDefault="00C97573" w:rsidP="00BA2F3F">
      <w:pPr>
        <w:spacing w:after="240" w:line="360" w:lineRule="auto"/>
        <w:jc w:val="right"/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</w:p>
    <w:p w14:paraId="6F4EC8F8" w14:textId="74383A66" w:rsidR="00C60BB3" w:rsidRPr="00BA2F3F" w:rsidRDefault="00C60BB3" w:rsidP="00BA2F3F">
      <w:pPr>
        <w:spacing w:after="240"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t-BR"/>
        </w:rPr>
      </w:pP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FERNANDO LOCATELLI</w:t>
      </w: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br/>
      </w:r>
      <w:proofErr w:type="spellStart"/>
      <w:r w:rsid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P</w:t>
      </w: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residente</w:t>
      </w:r>
      <w:proofErr w:type="spellEnd"/>
    </w:p>
    <w:p w14:paraId="313EC619" w14:textId="77777777" w:rsidR="00BA2F3F" w:rsidRDefault="00BA2F3F" w:rsidP="00BA2F3F">
      <w:pPr>
        <w:spacing w:after="240"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t-BR"/>
        </w:rPr>
      </w:pPr>
    </w:p>
    <w:p w14:paraId="10152F06" w14:textId="2C256274" w:rsidR="00C60BB3" w:rsidRPr="00BA2F3F" w:rsidRDefault="00C60BB3" w:rsidP="00BA2F3F">
      <w:pPr>
        <w:spacing w:after="240"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t-BR"/>
        </w:rPr>
      </w:pP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CIRIO FRANCISCO DE FREITAS</w:t>
      </w: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br/>
        <w:t>Vice-</w:t>
      </w:r>
      <w:proofErr w:type="spellStart"/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Presidente</w:t>
      </w:r>
      <w:proofErr w:type="spellEnd"/>
    </w:p>
    <w:p w14:paraId="4A802AED" w14:textId="77777777" w:rsidR="00C60BB3" w:rsidRPr="00BA2F3F" w:rsidRDefault="00C60BB3" w:rsidP="00BA2F3F">
      <w:pPr>
        <w:spacing w:after="240"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t-BR"/>
        </w:rPr>
      </w:pPr>
    </w:p>
    <w:p w14:paraId="31FB9B71" w14:textId="77777777" w:rsidR="00C60BB3" w:rsidRPr="00BA2F3F" w:rsidRDefault="00C60BB3" w:rsidP="00BA2F3F">
      <w:pPr>
        <w:spacing w:after="240"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t-BR"/>
        </w:rPr>
      </w:pP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PAULO CESAR BETTONI</w:t>
      </w: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br/>
        <w:t xml:space="preserve">1º </w:t>
      </w:r>
      <w:proofErr w:type="spellStart"/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Secretário</w:t>
      </w:r>
      <w:proofErr w:type="spellEnd"/>
    </w:p>
    <w:p w14:paraId="05087EE0" w14:textId="77777777" w:rsidR="00C60BB3" w:rsidRPr="00BA2F3F" w:rsidRDefault="00C60BB3" w:rsidP="00BA2F3F">
      <w:pPr>
        <w:spacing w:after="240"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t-BR"/>
        </w:rPr>
      </w:pPr>
    </w:p>
    <w:p w14:paraId="460AC46F" w14:textId="5096FA36" w:rsidR="00E362E6" w:rsidRPr="00BA2F3F" w:rsidRDefault="00C60BB3" w:rsidP="00BA2F3F">
      <w:pPr>
        <w:spacing w:after="240" w:line="360" w:lineRule="auto"/>
        <w:jc w:val="center"/>
        <w:rPr>
          <w:rFonts w:ascii="Calibri Light" w:hAnsi="Calibri Light" w:cs="Calibri Light"/>
          <w:sz w:val="20"/>
          <w:szCs w:val="20"/>
        </w:rPr>
      </w:pP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CLEONIR GUARNIERI</w:t>
      </w:r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br/>
        <w:t xml:space="preserve">2º </w:t>
      </w:r>
      <w:proofErr w:type="spellStart"/>
      <w:r w:rsidRPr="00BA2F3F">
        <w:rPr>
          <w:rFonts w:ascii="Calibri Light" w:eastAsia="Times New Roman" w:hAnsi="Calibri Light" w:cs="Calibri Light"/>
          <w:b/>
          <w:sz w:val="20"/>
          <w:szCs w:val="20"/>
          <w:lang w:eastAsia="pt-BR"/>
        </w:rPr>
        <w:t>Secretário</w:t>
      </w:r>
      <w:proofErr w:type="spellEnd"/>
    </w:p>
    <w:sectPr w:rsidR="00E362E6" w:rsidRPr="00BA2F3F" w:rsidSect="00C60BB3">
      <w:pgSz w:w="12240" w:h="15840"/>
      <w:pgMar w:top="3544" w:right="180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534282"/>
    <w:multiLevelType w:val="hybridMultilevel"/>
    <w:tmpl w:val="4A0AA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3250"/>
    <w:rsid w:val="00034616"/>
    <w:rsid w:val="0006063C"/>
    <w:rsid w:val="0015074B"/>
    <w:rsid w:val="002016B3"/>
    <w:rsid w:val="0029639D"/>
    <w:rsid w:val="002A1225"/>
    <w:rsid w:val="00326F90"/>
    <w:rsid w:val="00416465"/>
    <w:rsid w:val="006105E3"/>
    <w:rsid w:val="00901CE0"/>
    <w:rsid w:val="00917B7A"/>
    <w:rsid w:val="009226C4"/>
    <w:rsid w:val="009D706E"/>
    <w:rsid w:val="00AA1D8D"/>
    <w:rsid w:val="00B47730"/>
    <w:rsid w:val="00BA2F3F"/>
    <w:rsid w:val="00BB7D31"/>
    <w:rsid w:val="00BE0710"/>
    <w:rsid w:val="00C60BB3"/>
    <w:rsid w:val="00C97573"/>
    <w:rsid w:val="00CB0664"/>
    <w:rsid w:val="00E362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7BD28"/>
  <w14:defaultImageDpi w14:val="330"/>
  <w15:docId w15:val="{9E8EE51A-ADE9-41FD-8B7B-224085B3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A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F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E3679-65F8-4155-AD22-53E75E4B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996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Servidor</cp:lastModifiedBy>
  <cp:revision>5</cp:revision>
  <cp:lastPrinted>2026-07-13T14:11:00Z</cp:lastPrinted>
  <dcterms:created xsi:type="dcterms:W3CDTF">2026-07-13T12:37:00Z</dcterms:created>
  <dcterms:modified xsi:type="dcterms:W3CDTF">2026-07-13T14:12:00Z</dcterms:modified>
  <cp:category/>
</cp:coreProperties>
</file>